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DB" w:rsidRPr="00274B4A" w:rsidRDefault="003F2CDB" w:rsidP="003F2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F2CDB" w:rsidRPr="00274B4A" w:rsidRDefault="003F2CDB" w:rsidP="003F2CDB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4B4A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3F2CDB" w:rsidRPr="00274B4A" w:rsidRDefault="003F2CDB" w:rsidP="003F2CDB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b/>
          <w:bCs/>
        </w:rPr>
      </w:pPr>
      <w:r w:rsidRPr="00274B4A">
        <w:rPr>
          <w:rFonts w:ascii="Times New Roman" w:hAnsi="Times New Roman" w:cs="Times New Roman"/>
          <w:b/>
          <w:bCs/>
        </w:rPr>
        <w:t xml:space="preserve">о результатах проведенного контрольного мероприятия за достоверностью отчётов о реализации муниципальной программы </w:t>
      </w:r>
      <w:r w:rsidRPr="00274B4A">
        <w:rPr>
          <w:rFonts w:ascii="Times New Roman" w:hAnsi="Times New Roman" w:cs="Times New Roman"/>
          <w:b/>
        </w:rPr>
        <w:t>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«Лесная»» за 2022 год</w:t>
      </w:r>
    </w:p>
    <w:p w:rsidR="003F2CDB" w:rsidRPr="00274B4A" w:rsidRDefault="003F2CDB" w:rsidP="003F2CDB">
      <w:pPr>
        <w:spacing w:after="0" w:line="240" w:lineRule="auto"/>
        <w:ind w:left="-567" w:firstLine="142"/>
        <w:jc w:val="both"/>
        <w:rPr>
          <w:b/>
          <w:bCs/>
        </w:rPr>
      </w:pPr>
    </w:p>
    <w:p w:rsidR="00AD7379" w:rsidRPr="00274B4A" w:rsidRDefault="00AD7379" w:rsidP="003F2CDB">
      <w:pPr>
        <w:spacing w:after="0" w:line="240" w:lineRule="auto"/>
        <w:ind w:left="-567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EBD" w:rsidRPr="00274B4A">
        <w:rPr>
          <w:rFonts w:ascii="Times New Roman" w:hAnsi="Times New Roman" w:cs="Times New Roman"/>
        </w:rPr>
        <w:t xml:space="preserve">Контрольное мероприятие по проверке полноты и достоверности отчётности о реализации муниципальной </w:t>
      </w:r>
      <w:r w:rsidRPr="00274B4A">
        <w:rPr>
          <w:rFonts w:ascii="Times New Roman" w:hAnsi="Times New Roman" w:cs="Times New Roman"/>
        </w:rPr>
        <w:t xml:space="preserve">программы </w:t>
      </w:r>
      <w:r w:rsidR="00213EBD" w:rsidRPr="00274B4A">
        <w:rPr>
          <w:rFonts w:ascii="Times New Roman" w:hAnsi="Times New Roman" w:cs="Times New Roman"/>
        </w:rPr>
        <w:t>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«Лесная»»</w:t>
      </w:r>
      <w:r w:rsidR="00213EBD" w:rsidRPr="00274B4A">
        <w:rPr>
          <w:rFonts w:ascii="Times New Roman" w:hAnsi="Times New Roman" w:cs="Times New Roman"/>
          <w:b/>
        </w:rPr>
        <w:t xml:space="preserve">  </w:t>
      </w:r>
      <w:r w:rsidR="00ED0CB4" w:rsidRPr="00274B4A">
        <w:rPr>
          <w:rFonts w:ascii="Times New Roman" w:hAnsi="Times New Roman" w:cs="Times New Roman"/>
        </w:rPr>
        <w:t>за 2022</w:t>
      </w:r>
      <w:r w:rsidR="00213EBD" w:rsidRPr="00274B4A">
        <w:rPr>
          <w:rFonts w:ascii="Times New Roman" w:hAnsi="Times New Roman" w:cs="Times New Roman"/>
        </w:rPr>
        <w:t xml:space="preserve"> год</w:t>
      </w:r>
      <w:r w:rsidR="00213EBD" w:rsidRPr="00274B4A">
        <w:rPr>
          <w:rFonts w:ascii="Times New Roman" w:hAnsi="Times New Roman" w:cs="Times New Roman"/>
          <w:b/>
        </w:rPr>
        <w:t xml:space="preserve"> </w:t>
      </w:r>
      <w:r w:rsidR="00213EBD" w:rsidRPr="00274B4A">
        <w:rPr>
          <w:rFonts w:ascii="Times New Roman" w:hAnsi="Times New Roman" w:cs="Times New Roman"/>
        </w:rPr>
        <w:t>проведено отделом муниципального внутреннего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</w:t>
      </w:r>
      <w:r w:rsidRPr="00274B4A">
        <w:rPr>
          <w:rFonts w:ascii="Times New Roman" w:hAnsi="Times New Roman" w:cs="Times New Roman"/>
        </w:rPr>
        <w:t>, Планом контрольных мероприятий по осуществлению полномочий муниципального финансового контроля на 2023 год (п.7),утвержденным распоряжением администрации городского округа Троицк от 16.12.2022 №67, распоряжением администрации городского округа Троицк от 08.02.2023 №8 «О проведении проверки достоверности отчетов о реализации муниципальной программы за 2022 год</w:t>
      </w:r>
      <w:r w:rsidR="00120BEF" w:rsidRPr="00274B4A">
        <w:rPr>
          <w:rFonts w:ascii="Times New Roman" w:hAnsi="Times New Roman" w:cs="Times New Roman"/>
        </w:rPr>
        <w:t>».</w:t>
      </w:r>
    </w:p>
    <w:p w:rsidR="00213EBD" w:rsidRPr="00274B4A" w:rsidRDefault="00213EBD" w:rsidP="00AD7379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74B4A">
        <w:tab/>
      </w:r>
      <w:r w:rsidRPr="00274B4A">
        <w:rPr>
          <w:rFonts w:ascii="Times New Roman" w:hAnsi="Times New Roman" w:cs="Times New Roman"/>
        </w:rPr>
        <w:t>Проверка достоверности отчетности о реал</w:t>
      </w:r>
      <w:r w:rsidR="00896EAB" w:rsidRPr="00274B4A">
        <w:rPr>
          <w:rFonts w:ascii="Times New Roman" w:hAnsi="Times New Roman" w:cs="Times New Roman"/>
        </w:rPr>
        <w:t>изации муниципальной программы</w:t>
      </w:r>
      <w:r w:rsidR="00466A9E" w:rsidRPr="00274B4A">
        <w:rPr>
          <w:rFonts w:ascii="Times New Roman" w:hAnsi="Times New Roman" w:cs="Times New Roman"/>
        </w:rPr>
        <w:t xml:space="preserve"> за 2022</w:t>
      </w:r>
      <w:r w:rsidRPr="00274B4A">
        <w:rPr>
          <w:rFonts w:ascii="Times New Roman" w:hAnsi="Times New Roman" w:cs="Times New Roman"/>
        </w:rPr>
        <w:t xml:space="preserve"> год проведена в отношении   администрации городского округа Троицк -</w:t>
      </w:r>
      <w:r w:rsidRPr="00274B4A">
        <w:rPr>
          <w:rFonts w:ascii="Times New Roman" w:eastAsia="Times New Roman" w:hAnsi="Times New Roman" w:cs="Times New Roman"/>
          <w:lang w:eastAsia="ru-RU"/>
        </w:rPr>
        <w:t xml:space="preserve"> Управления архитектуры и градостроительства администрации городского округа Троицк</w:t>
      </w:r>
      <w:r w:rsidRPr="00274B4A">
        <w:rPr>
          <w:rFonts w:ascii="Times New Roman" w:hAnsi="Times New Roman" w:cs="Times New Roman"/>
        </w:rPr>
        <w:t xml:space="preserve"> по основным вопросам:</w:t>
      </w:r>
    </w:p>
    <w:p w:rsidR="00213EBD" w:rsidRPr="00274B4A" w:rsidRDefault="00213EBD" w:rsidP="00BE1C66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74B4A">
        <w:rPr>
          <w:rFonts w:ascii="Times New Roman" w:hAnsi="Times New Roman" w:cs="Times New Roman"/>
        </w:rPr>
        <w:t>- соблюдение бюджетного законодательства при осуществлении бюджетного процесса;</w:t>
      </w:r>
    </w:p>
    <w:p w:rsidR="00213EBD" w:rsidRPr="00274B4A" w:rsidRDefault="00213EBD" w:rsidP="00BE1C66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74B4A">
        <w:rPr>
          <w:rFonts w:ascii="Times New Roman" w:hAnsi="Times New Roman" w:cs="Times New Roman"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213EBD" w:rsidRPr="00274B4A" w:rsidRDefault="00213EBD" w:rsidP="00BE1C66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274B4A">
        <w:rPr>
          <w:rFonts w:ascii="Times New Roman" w:hAnsi="Times New Roman" w:cs="Times New Roman"/>
        </w:rPr>
        <w:t>-оценка результативности и эффективности реализации муниципальной программы;</w:t>
      </w:r>
    </w:p>
    <w:p w:rsidR="00AE5E23" w:rsidRDefault="00213EBD" w:rsidP="003F2CDB">
      <w:pPr>
        <w:pStyle w:val="a3"/>
        <w:ind w:left="-567" w:firstLine="283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hAnsi="Times New Roman" w:cs="Times New Roman"/>
        </w:rPr>
        <w:t xml:space="preserve">- выполнение бюджетополучателем полноты реализации направления муниципальной программы «Проектирование и строительство подъездной дороги и объектов рекреационно-спортивного комплекса </w:t>
      </w:r>
      <w:r w:rsidR="00ED0CB4" w:rsidRPr="00274B4A">
        <w:rPr>
          <w:rFonts w:ascii="Times New Roman" w:hAnsi="Times New Roman" w:cs="Times New Roman"/>
        </w:rPr>
        <w:t xml:space="preserve">МАУ </w:t>
      </w:r>
      <w:proofErr w:type="spellStart"/>
      <w:r w:rsidR="00ED0CB4" w:rsidRPr="00274B4A">
        <w:rPr>
          <w:rFonts w:ascii="Times New Roman" w:hAnsi="Times New Roman" w:cs="Times New Roman"/>
        </w:rPr>
        <w:t>ФКиС</w:t>
      </w:r>
      <w:proofErr w:type="spellEnd"/>
      <w:r w:rsidR="00ED0CB4" w:rsidRPr="00274B4A">
        <w:rPr>
          <w:rFonts w:ascii="Times New Roman" w:hAnsi="Times New Roman" w:cs="Times New Roman"/>
        </w:rPr>
        <w:t xml:space="preserve"> </w:t>
      </w:r>
      <w:r w:rsidRPr="00274B4A">
        <w:rPr>
          <w:rFonts w:ascii="Times New Roman" w:hAnsi="Times New Roman" w:cs="Times New Roman"/>
        </w:rPr>
        <w:t>«Городская спортив</w:t>
      </w:r>
      <w:r w:rsidR="00ED0CB4" w:rsidRPr="00274B4A">
        <w:rPr>
          <w:rFonts w:ascii="Times New Roman" w:hAnsi="Times New Roman" w:cs="Times New Roman"/>
        </w:rPr>
        <w:t>но-оздоровительная база «Лесная</w:t>
      </w:r>
      <w:r w:rsidRPr="00274B4A">
        <w:rPr>
          <w:rFonts w:ascii="Times New Roman" w:hAnsi="Times New Roman" w:cs="Times New Roman"/>
        </w:rPr>
        <w:t>»</w:t>
      </w:r>
      <w:r w:rsidR="003F2CDB" w:rsidRPr="00274B4A">
        <w:rPr>
          <w:rFonts w:ascii="Times New Roman" w:hAnsi="Times New Roman" w:cs="Times New Roman"/>
        </w:rPr>
        <w:t>.</w:t>
      </w:r>
      <w:r w:rsidR="00AE5E23" w:rsidRPr="00274B4A">
        <w:rPr>
          <w:rFonts w:ascii="Times New Roman" w:eastAsia="Calibri" w:hAnsi="Times New Roman" w:cs="Times New Roman"/>
        </w:rPr>
        <w:t xml:space="preserve"> </w:t>
      </w:r>
    </w:p>
    <w:p w:rsidR="00274B4A" w:rsidRDefault="00274B4A" w:rsidP="003F2CDB">
      <w:pPr>
        <w:pStyle w:val="a3"/>
        <w:ind w:left="-567" w:firstLine="283"/>
        <w:jc w:val="both"/>
        <w:rPr>
          <w:rFonts w:ascii="Times New Roman" w:eastAsia="Calibri" w:hAnsi="Times New Roman" w:cs="Times New Roman"/>
        </w:rPr>
      </w:pPr>
    </w:p>
    <w:p w:rsidR="00274B4A" w:rsidRPr="00274B4A" w:rsidRDefault="00274B4A" w:rsidP="00274B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По результатам контрольных мероприятий установлено следующее.</w:t>
      </w:r>
    </w:p>
    <w:p w:rsidR="00AE5E23" w:rsidRPr="00274B4A" w:rsidRDefault="00AE5E23" w:rsidP="00BE1C66">
      <w:pPr>
        <w:pStyle w:val="a3"/>
        <w:ind w:left="-567" w:firstLine="425"/>
        <w:jc w:val="both"/>
        <w:rPr>
          <w:rFonts w:ascii="Times New Roman" w:hAnsi="Times New Roman" w:cs="Times New Roman"/>
          <w:b/>
        </w:rPr>
      </w:pPr>
      <w:r w:rsidRPr="00274B4A">
        <w:rPr>
          <w:rFonts w:ascii="Times New Roman" w:eastAsia="Calibri" w:hAnsi="Times New Roman" w:cs="Times New Roman"/>
        </w:rPr>
        <w:tab/>
      </w:r>
      <w:r w:rsidR="003F2CDB" w:rsidRPr="00274B4A">
        <w:rPr>
          <w:rFonts w:ascii="Times New Roman" w:eastAsia="Calibri" w:hAnsi="Times New Roman" w:cs="Times New Roman"/>
        </w:rPr>
        <w:t>1</w:t>
      </w:r>
      <w:r w:rsidRPr="00274B4A">
        <w:rPr>
          <w:rFonts w:ascii="Times New Roman" w:hAnsi="Times New Roman" w:cs="Times New Roman"/>
          <w:b/>
        </w:rPr>
        <w:t>. Проверка правильности разработки и формирования муниципальной программы</w:t>
      </w:r>
    </w:p>
    <w:p w:rsidR="00AE5E23" w:rsidRPr="00274B4A" w:rsidRDefault="00ED0CB4" w:rsidP="00BE1C6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ab/>
        <w:t>К проверке отчетности за 2022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 xml:space="preserve"> год была представлена муниципальная </w:t>
      </w:r>
      <w:proofErr w:type="gramStart"/>
      <w:r w:rsidR="00AE5E23" w:rsidRPr="00274B4A">
        <w:rPr>
          <w:rFonts w:ascii="Times New Roman" w:eastAsia="Times New Roman" w:hAnsi="Times New Roman" w:cs="Times New Roman"/>
          <w:lang w:eastAsia="ru-RU"/>
        </w:rPr>
        <w:t xml:space="preserve">программа </w:t>
      </w:r>
      <w:r w:rsidR="00AE5E23" w:rsidRPr="00274B4A">
        <w:rPr>
          <w:rFonts w:ascii="Times New Roman" w:hAnsi="Times New Roman" w:cs="Times New Roman"/>
          <w:b/>
        </w:rPr>
        <w:t xml:space="preserve"> </w:t>
      </w:r>
      <w:r w:rsidR="00AE5E23" w:rsidRPr="00274B4A">
        <w:rPr>
          <w:rFonts w:ascii="Times New Roman" w:hAnsi="Times New Roman" w:cs="Times New Roman"/>
        </w:rPr>
        <w:t>«</w:t>
      </w:r>
      <w:proofErr w:type="gramEnd"/>
      <w:r w:rsidR="00BB11D2" w:rsidRPr="00274B4A">
        <w:rPr>
          <w:rFonts w:ascii="Times New Roman" w:hAnsi="Times New Roman" w:cs="Times New Roman"/>
        </w:rPr>
        <w:t>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«Лесная»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B855E8" w:rsidRPr="00274B4A">
        <w:rPr>
          <w:rFonts w:ascii="Times New Roman" w:eastAsia="Times New Roman" w:hAnsi="Times New Roman" w:cs="Times New Roman"/>
          <w:lang w:eastAsia="ru-RU"/>
        </w:rPr>
        <w:t xml:space="preserve">утвержденная постановлением администрации городского округа Троицк </w:t>
      </w:r>
      <w:r w:rsidR="00851604" w:rsidRPr="00274B4A">
        <w:rPr>
          <w:rFonts w:ascii="Times New Roman" w:eastAsia="Times New Roman" w:hAnsi="Times New Roman" w:cs="Times New Roman"/>
          <w:bCs/>
          <w:lang w:eastAsia="ru-RU"/>
        </w:rPr>
        <w:t>от 21.10.2022 №758</w:t>
      </w:r>
      <w:r w:rsidR="00AE5E23" w:rsidRPr="00274B4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51604" w:rsidRPr="00274B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11D2" w:rsidRPr="00274B4A">
        <w:rPr>
          <w:rFonts w:ascii="Times New Roman" w:eastAsia="Times New Roman" w:hAnsi="Times New Roman" w:cs="Times New Roman"/>
          <w:bCs/>
          <w:lang w:eastAsia="ru-RU"/>
        </w:rPr>
        <w:t>(в редакции постановлений от 15.10.2019 №1185, от 15.10.2020 №668</w:t>
      </w:r>
      <w:r w:rsidR="00713928" w:rsidRPr="00274B4A">
        <w:rPr>
          <w:rFonts w:ascii="Times New Roman" w:eastAsia="Times New Roman" w:hAnsi="Times New Roman" w:cs="Times New Roman"/>
          <w:bCs/>
          <w:lang w:eastAsia="ru-RU"/>
        </w:rPr>
        <w:t>, от 02.11.2021 №820</w:t>
      </w:r>
      <w:r w:rsidR="00AE5E23" w:rsidRPr="00274B4A">
        <w:rPr>
          <w:rFonts w:ascii="Times New Roman" w:eastAsia="Times New Roman" w:hAnsi="Times New Roman" w:cs="Times New Roman"/>
          <w:bCs/>
          <w:lang w:eastAsia="ru-RU"/>
        </w:rPr>
        <w:t>)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>.</w:t>
      </w:r>
    </w:p>
    <w:p w:rsidR="00F869D4" w:rsidRPr="00274B4A" w:rsidRDefault="00DF77C7" w:rsidP="00F869D4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74B4A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="00F869D4"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>09.12.2021 №461/93</w:t>
      </w:r>
      <w:r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274B4A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объем финансирования на муниципальную программу был предусмотрен </w:t>
      </w:r>
      <w:r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>за счет средств местного бюджета</w:t>
      </w:r>
      <w:r w:rsidRPr="00274B4A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в размере-</w:t>
      </w:r>
      <w:r w:rsidRPr="00274B4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869D4" w:rsidRPr="00274B4A">
        <w:rPr>
          <w:rFonts w:ascii="Times New Roman" w:eastAsia="Calibri" w:hAnsi="Times New Roman" w:cs="Times New Roman"/>
          <w:color w:val="000000" w:themeColor="text1"/>
        </w:rPr>
        <w:t>1</w:t>
      </w:r>
      <w:r w:rsidR="00397242" w:rsidRPr="00274B4A">
        <w:rPr>
          <w:rFonts w:ascii="Times New Roman" w:eastAsia="Calibri" w:hAnsi="Times New Roman" w:cs="Times New Roman"/>
          <w:color w:val="000000" w:themeColor="text1"/>
        </w:rPr>
        <w:t> 000,00</w:t>
      </w:r>
      <w:r w:rsidRPr="00274B4A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тыс. руб</w:t>
      </w:r>
      <w:r w:rsidRPr="00274B4A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4B1D9B" w:rsidRPr="00274B4A" w:rsidRDefault="00F869D4" w:rsidP="00BE1C66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74B4A">
        <w:rPr>
          <w:rFonts w:ascii="Times New Roman" w:eastAsia="Calibri" w:hAnsi="Times New Roman" w:cs="Times New Roman"/>
          <w:lang w:eastAsia="ru-RU"/>
        </w:rPr>
        <w:t>В течение 2022</w:t>
      </w:r>
      <w:r w:rsidR="004B1D9B" w:rsidRPr="00274B4A">
        <w:rPr>
          <w:rFonts w:ascii="Times New Roman" w:eastAsia="Calibri" w:hAnsi="Times New Roman" w:cs="Times New Roman"/>
          <w:lang w:eastAsia="ru-RU"/>
        </w:rPr>
        <w:t xml:space="preserve"> года в муници</w:t>
      </w:r>
      <w:r w:rsidR="00851604" w:rsidRPr="00274B4A">
        <w:rPr>
          <w:rFonts w:ascii="Times New Roman" w:eastAsia="Calibri" w:hAnsi="Times New Roman" w:cs="Times New Roman"/>
          <w:lang w:eastAsia="ru-RU"/>
        </w:rPr>
        <w:t>пальную программу было внесено 3</w:t>
      </w:r>
      <w:r w:rsidRPr="00274B4A">
        <w:rPr>
          <w:rFonts w:ascii="Times New Roman" w:eastAsia="Calibri" w:hAnsi="Times New Roman" w:cs="Times New Roman"/>
          <w:lang w:eastAsia="ru-RU"/>
        </w:rPr>
        <w:t xml:space="preserve"> изменения</w:t>
      </w:r>
      <w:r w:rsidR="004B1D9B" w:rsidRPr="00274B4A">
        <w:rPr>
          <w:rFonts w:ascii="Times New Roman" w:eastAsia="Calibri" w:hAnsi="Times New Roman" w:cs="Times New Roman"/>
          <w:lang w:eastAsia="ru-RU"/>
        </w:rPr>
        <w:t xml:space="preserve"> согласно:</w:t>
      </w:r>
      <w:r w:rsidR="004B1D9B" w:rsidRPr="00274B4A">
        <w:rPr>
          <w:rFonts w:ascii="Times New Roman" w:eastAsia="Calibri" w:hAnsi="Times New Roman" w:cs="Times New Roman"/>
        </w:rPr>
        <w:t xml:space="preserve"> </w:t>
      </w:r>
    </w:p>
    <w:p w:rsidR="00D67D52" w:rsidRPr="00274B4A" w:rsidRDefault="004B1D9B" w:rsidP="00BE1C66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-  решению Совета депутатов городского окр</w:t>
      </w:r>
      <w:r w:rsidR="00F869D4" w:rsidRPr="00274B4A">
        <w:rPr>
          <w:rFonts w:ascii="Times New Roman" w:eastAsia="Calibri" w:hAnsi="Times New Roman" w:cs="Times New Roman"/>
        </w:rPr>
        <w:t>уга Троицк в городе Москве от 24.03.2022 №501/98</w:t>
      </w:r>
      <w:r w:rsidRPr="00274B4A">
        <w:rPr>
          <w:rFonts w:ascii="Times New Roman" w:eastAsia="Calibri" w:hAnsi="Times New Roman" w:cs="Times New Roman"/>
        </w:rPr>
        <w:t xml:space="preserve"> «О внесении изменений в решение Совета депутато</w:t>
      </w:r>
      <w:r w:rsidR="00F869D4" w:rsidRPr="00274B4A">
        <w:rPr>
          <w:rFonts w:ascii="Times New Roman" w:eastAsia="Calibri" w:hAnsi="Times New Roman" w:cs="Times New Roman"/>
        </w:rPr>
        <w:t>в городского округа Троицк от 09.12.2021 №461/93</w:t>
      </w:r>
      <w:r w:rsidRPr="00274B4A">
        <w:rPr>
          <w:rFonts w:ascii="Times New Roman" w:eastAsia="Calibri" w:hAnsi="Times New Roman" w:cs="Times New Roman"/>
          <w:lang w:eastAsia="ru-RU"/>
        </w:rPr>
        <w:t xml:space="preserve"> </w:t>
      </w:r>
      <w:r w:rsidRPr="00274B4A">
        <w:rPr>
          <w:rFonts w:ascii="Times New Roman" w:eastAsia="Calibri" w:hAnsi="Times New Roman" w:cs="Times New Roman"/>
        </w:rPr>
        <w:t>«О бюджете городского округ</w:t>
      </w:r>
      <w:r w:rsidR="00F869D4" w:rsidRPr="00274B4A">
        <w:rPr>
          <w:rFonts w:ascii="Times New Roman" w:eastAsia="Calibri" w:hAnsi="Times New Roman" w:cs="Times New Roman"/>
        </w:rPr>
        <w:t>а Троицк в городе Москве на 2022 год и плановый период 2023 и 2024</w:t>
      </w:r>
      <w:r w:rsidRPr="00274B4A">
        <w:rPr>
          <w:rFonts w:ascii="Times New Roman" w:eastAsia="Calibri" w:hAnsi="Times New Roman" w:cs="Times New Roman"/>
        </w:rPr>
        <w:t xml:space="preserve">годов», запланированы расходы на финансирование программы из средств бюджета городского округа Троицк в размере </w:t>
      </w:r>
      <w:r w:rsidR="00F869D4" w:rsidRPr="00274B4A">
        <w:rPr>
          <w:rFonts w:ascii="Times New Roman" w:eastAsia="Calibri" w:hAnsi="Times New Roman" w:cs="Times New Roman"/>
        </w:rPr>
        <w:t>1000,00</w:t>
      </w:r>
      <w:r w:rsidRPr="00274B4A">
        <w:rPr>
          <w:rFonts w:ascii="Times New Roman" w:eastAsia="Calibri" w:hAnsi="Times New Roman" w:cs="Times New Roman"/>
        </w:rPr>
        <w:t xml:space="preserve"> тыс. руб. и из средств б</w:t>
      </w:r>
      <w:r w:rsidR="00C564A4" w:rsidRPr="00274B4A">
        <w:rPr>
          <w:rFonts w:ascii="Times New Roman" w:eastAsia="Calibri" w:hAnsi="Times New Roman" w:cs="Times New Roman"/>
        </w:rPr>
        <w:t xml:space="preserve">юджета города Москвы в размере </w:t>
      </w:r>
      <w:r w:rsidR="00F869D4" w:rsidRPr="00274B4A">
        <w:rPr>
          <w:rFonts w:ascii="Times New Roman" w:eastAsia="Calibri" w:hAnsi="Times New Roman" w:cs="Times New Roman"/>
        </w:rPr>
        <w:t>539 843,01</w:t>
      </w:r>
      <w:r w:rsidR="00C564A4" w:rsidRPr="00274B4A">
        <w:rPr>
          <w:rFonts w:ascii="Times New Roman" w:eastAsia="Calibri" w:hAnsi="Times New Roman" w:cs="Times New Roman"/>
        </w:rPr>
        <w:t xml:space="preserve"> тыс. руб.</w:t>
      </w:r>
      <w:r w:rsidRPr="00274B4A">
        <w:rPr>
          <w:rFonts w:ascii="Times New Roman" w:eastAsia="Calibri" w:hAnsi="Times New Roman" w:cs="Times New Roman"/>
        </w:rPr>
        <w:t xml:space="preserve">; </w:t>
      </w:r>
    </w:p>
    <w:p w:rsidR="00F869D4" w:rsidRPr="00274B4A" w:rsidRDefault="00F869D4" w:rsidP="00F869D4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-  решению Совета депутатов городского округа Троицк в городе Москве от 01.09.2022 №567/108 «О внесении изменений в решение Совета депутатов городского округа Троицк от 09.12.2021 №461/93</w:t>
      </w:r>
      <w:r w:rsidRPr="00274B4A">
        <w:rPr>
          <w:rFonts w:ascii="Times New Roman" w:eastAsia="Calibri" w:hAnsi="Times New Roman" w:cs="Times New Roman"/>
          <w:lang w:eastAsia="ru-RU"/>
        </w:rPr>
        <w:t xml:space="preserve"> </w:t>
      </w:r>
      <w:r w:rsidRPr="00274B4A">
        <w:rPr>
          <w:rFonts w:ascii="Times New Roman" w:eastAsia="Calibri" w:hAnsi="Times New Roman" w:cs="Times New Roman"/>
        </w:rPr>
        <w:t xml:space="preserve">«О бюджете городского округа Троицк в городе Москве на 2022 год и плановый период 2023 и 2024годов», запланированы расходы на финансирование программы из средств бюджета городского округа Троицк в размере 1000,00 тыс. руб. и из средств бюджета города Москвы в размере 341 843,01 тыс. руб. </w:t>
      </w:r>
    </w:p>
    <w:p w:rsidR="00F869D4" w:rsidRPr="00274B4A" w:rsidRDefault="00F869D4" w:rsidP="00F869D4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-  решению Совета депутатов городского округа Троицк в городе Москве от 10.11.2022 №29/5 «О внесении изменений в решение Совета депутатов городского округа Троицк от 09.12.2021 №461/93</w:t>
      </w:r>
      <w:r w:rsidRPr="00274B4A">
        <w:rPr>
          <w:rFonts w:ascii="Times New Roman" w:eastAsia="Calibri" w:hAnsi="Times New Roman" w:cs="Times New Roman"/>
          <w:lang w:eastAsia="ru-RU"/>
        </w:rPr>
        <w:t xml:space="preserve"> </w:t>
      </w:r>
      <w:r w:rsidRPr="00274B4A">
        <w:rPr>
          <w:rFonts w:ascii="Times New Roman" w:eastAsia="Calibri" w:hAnsi="Times New Roman" w:cs="Times New Roman"/>
        </w:rPr>
        <w:t xml:space="preserve">«О бюджете городского округа Троицк в городе Москве на 2022 год и плановый период 2023 и 2024годов», запланированы расходы на финансирование программы из средств бюджета городского округа Троицк в размере 1000,00 тыс. руб. и из средств бюджета города Москвы в размере 439 843,01 тыс. руб. </w:t>
      </w:r>
    </w:p>
    <w:p w:rsidR="003F2CDB" w:rsidRPr="00274B4A" w:rsidRDefault="00AD3FBB" w:rsidP="003F2CD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lastRenderedPageBreak/>
        <w:t xml:space="preserve">Управлением </w:t>
      </w:r>
      <w:r w:rsidR="00D67D52" w:rsidRPr="00274B4A">
        <w:rPr>
          <w:rFonts w:ascii="Times New Roman" w:eastAsia="Times New Roman" w:hAnsi="Times New Roman" w:cs="Times New Roman"/>
          <w:lang w:eastAsia="ru-RU"/>
        </w:rPr>
        <w:t>а</w:t>
      </w:r>
      <w:r w:rsidRPr="00274B4A">
        <w:rPr>
          <w:rFonts w:ascii="Times New Roman" w:eastAsia="Times New Roman" w:hAnsi="Times New Roman" w:cs="Times New Roman"/>
          <w:lang w:eastAsia="ru-RU"/>
        </w:rPr>
        <w:t xml:space="preserve">рхитектуры и градостроительства </w:t>
      </w:r>
      <w:r w:rsidR="00C564A4" w:rsidRPr="00274B4A">
        <w:rPr>
          <w:rFonts w:ascii="Times New Roman" w:eastAsia="Times New Roman" w:hAnsi="Times New Roman" w:cs="Times New Roman"/>
          <w:lang w:eastAsia="ru-RU"/>
        </w:rPr>
        <w:t xml:space="preserve">к проверке </w:t>
      </w:r>
      <w:r w:rsidRPr="00274B4A">
        <w:rPr>
          <w:rFonts w:ascii="Times New Roman" w:eastAsia="Times New Roman" w:hAnsi="Times New Roman" w:cs="Times New Roman"/>
          <w:lang w:eastAsia="ru-RU"/>
        </w:rPr>
        <w:t>не</w:t>
      </w:r>
      <w:r w:rsidR="00D67D52" w:rsidRPr="00274B4A">
        <w:rPr>
          <w:rFonts w:ascii="Times New Roman" w:eastAsia="Times New Roman" w:hAnsi="Times New Roman" w:cs="Times New Roman"/>
          <w:lang w:eastAsia="ru-RU"/>
        </w:rPr>
        <w:t xml:space="preserve"> были представлены пояснения на внесенные изменения в муниципальную программу</w:t>
      </w:r>
      <w:r w:rsidRPr="00274B4A">
        <w:rPr>
          <w:rFonts w:ascii="Times New Roman" w:eastAsia="Times New Roman" w:hAnsi="Times New Roman" w:cs="Times New Roman"/>
          <w:lang w:eastAsia="ru-RU"/>
        </w:rPr>
        <w:t>.</w:t>
      </w:r>
    </w:p>
    <w:p w:rsidR="00AE5E23" w:rsidRPr="00274B4A" w:rsidRDefault="003F2CDB" w:rsidP="003F2CD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4B4A"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="00AE5E23" w:rsidRPr="00274B4A">
        <w:rPr>
          <w:rFonts w:ascii="Times New Roman" w:eastAsia="Times New Roman" w:hAnsi="Times New Roman" w:cs="Times New Roman"/>
          <w:b/>
          <w:lang w:eastAsia="ru-RU"/>
        </w:rPr>
        <w:t>Проверка отчетности о ходе реализации и оценки эффективности муниципальной программы.</w:t>
      </w:r>
    </w:p>
    <w:p w:rsidR="00AE5E23" w:rsidRPr="00274B4A" w:rsidRDefault="005155E1" w:rsidP="00AE5E2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Calibri" w:hAnsi="Times New Roman" w:cs="Times New Roman"/>
          <w:color w:val="000000"/>
          <w:lang w:eastAsia="ru-RU"/>
        </w:rPr>
        <w:tab/>
        <w:t>В соответствии с пунктом 9</w:t>
      </w:r>
      <w:r w:rsidR="00AE5E23" w:rsidRPr="00274B4A">
        <w:rPr>
          <w:rFonts w:ascii="Times New Roman" w:eastAsia="Calibri" w:hAnsi="Times New Roman" w:cs="Times New Roman"/>
          <w:color w:val="000000"/>
          <w:lang w:eastAsia="ru-RU"/>
        </w:rPr>
        <w:t xml:space="preserve"> муниципальной программы</w:t>
      </w:r>
      <w:r w:rsidRPr="00274B4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="00697DCC" w:rsidRPr="00274B4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«</w:t>
      </w:r>
      <w:r w:rsidR="00697DCC" w:rsidRPr="00274B4A">
        <w:rPr>
          <w:rFonts w:ascii="Times New Roman" w:eastAsia="Calibri" w:hAnsi="Times New Roman" w:cs="Times New Roman"/>
          <w:color w:val="000000"/>
          <w:lang w:eastAsia="ru-RU"/>
        </w:rPr>
        <w:t xml:space="preserve">Методы </w:t>
      </w:r>
      <w:r w:rsidRPr="00274B4A">
        <w:rPr>
          <w:rFonts w:ascii="Times New Roman" w:eastAsia="Calibri" w:hAnsi="Times New Roman" w:cs="Times New Roman"/>
          <w:color w:val="000000"/>
          <w:lang w:eastAsia="ru-RU"/>
        </w:rPr>
        <w:t>о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>ценка эффективности</w:t>
      </w:r>
      <w:r w:rsidR="00697DCC" w:rsidRPr="00274B4A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программы» в связи с тем, что специфика реализации Муниципальной программы предусматривает необходимость соблюдения градостроительного законодательства и определяет перечень необходимых мероприятий, причем реализация последующих этапов невозможна без завершения предшествующих, а 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7DCC" w:rsidRPr="00274B4A">
        <w:rPr>
          <w:rFonts w:ascii="Times New Roman" w:eastAsia="Times New Roman" w:hAnsi="Times New Roman" w:cs="Times New Roman"/>
          <w:lang w:eastAsia="ru-RU"/>
        </w:rPr>
        <w:t xml:space="preserve">изменение состояния сферы действия программы в виде конечных результатов будет отражено только на этапе начала функционирования объектов (ввода объектов в эксплуатацию), т. е. за пределами срока действия Программы, оценка эффективности реализации муниципальной программы </w:t>
      </w:r>
      <w:r w:rsidR="00E46978" w:rsidRPr="00274B4A">
        <w:rPr>
          <w:rFonts w:ascii="Times New Roman" w:eastAsia="Times New Roman" w:hAnsi="Times New Roman" w:cs="Times New Roman"/>
          <w:lang w:eastAsia="ru-RU"/>
        </w:rPr>
        <w:t>осуществляется путем оценки реализации непосредственных результатов основных мероприятий муниципальной программы, которые обеспечены финансированием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>.</w:t>
      </w:r>
      <w:r w:rsidR="00E46978" w:rsidRPr="00274B4A">
        <w:rPr>
          <w:rFonts w:ascii="Times New Roman" w:eastAsia="Times New Roman" w:hAnsi="Times New Roman" w:cs="Times New Roman"/>
          <w:lang w:eastAsia="ru-RU"/>
        </w:rPr>
        <w:t xml:space="preserve"> Целевым индикатором программы является доля готовности (завершенности) каждого мероприятия в соответствии с объемом финансирования, поскольку только – 100-% завершенность мероприятий обеспечивает достижения конечных результатов реализации программы.</w:t>
      </w:r>
      <w:r w:rsidR="00AE5E23" w:rsidRPr="00274B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504A" w:rsidRPr="00274B4A" w:rsidRDefault="0005504A" w:rsidP="0005504A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В соответствии с Приложением №8 аналитического отчета по реализации муниципальной программы городского округа Троицк, Управлением архитектуры и градостроительства дана оценка результативности реализации муниципальной программы.</w:t>
      </w:r>
    </w:p>
    <w:p w:rsidR="0005504A" w:rsidRPr="00274B4A" w:rsidRDefault="0005504A" w:rsidP="0005504A">
      <w:pPr>
        <w:spacing w:after="0" w:line="240" w:lineRule="auto"/>
        <w:ind w:left="-567" w:firstLine="425"/>
        <w:rPr>
          <w:rFonts w:ascii="Times New Roman" w:eastAsia="Calibri" w:hAnsi="Times New Roman" w:cs="Times New Roman"/>
          <w:lang w:eastAsia="ru-RU"/>
        </w:rPr>
      </w:pPr>
      <w:r w:rsidRPr="00274B4A">
        <w:rPr>
          <w:rFonts w:ascii="Times New Roman" w:eastAsia="Calibri" w:hAnsi="Times New Roman" w:cs="Times New Roman"/>
          <w:lang w:eastAsia="ru-RU"/>
        </w:rPr>
        <w:t>Индекс результативности муниципальной программы в целом за 202</w:t>
      </w:r>
      <w:r w:rsidR="003B5FB4" w:rsidRPr="00274B4A">
        <w:rPr>
          <w:rFonts w:ascii="Times New Roman" w:eastAsia="Calibri" w:hAnsi="Times New Roman" w:cs="Times New Roman"/>
          <w:lang w:eastAsia="ru-RU"/>
        </w:rPr>
        <w:t>2</w:t>
      </w:r>
      <w:r w:rsidRPr="00274B4A">
        <w:rPr>
          <w:rFonts w:ascii="Times New Roman" w:eastAsia="Calibri" w:hAnsi="Times New Roman" w:cs="Times New Roman"/>
          <w:lang w:eastAsia="ru-RU"/>
        </w:rPr>
        <w:t xml:space="preserve"> год составляет:</w:t>
      </w:r>
    </w:p>
    <w:p w:rsidR="005A599B" w:rsidRPr="00274B4A" w:rsidRDefault="003B5FB4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  <w:lang w:eastAsia="ru-RU"/>
        </w:rPr>
      </w:pPr>
      <w:proofErr w:type="spellStart"/>
      <w:r w:rsidRPr="00274B4A">
        <w:rPr>
          <w:rFonts w:ascii="Times New Roman" w:eastAsia="Calibri" w:hAnsi="Times New Roman" w:cs="Times New Roman"/>
          <w:lang w:eastAsia="ru-RU"/>
        </w:rPr>
        <w:t>Ip</w:t>
      </w:r>
      <w:proofErr w:type="spellEnd"/>
      <w:r w:rsidR="005A599B" w:rsidRPr="00274B4A">
        <w:rPr>
          <w:rFonts w:ascii="Times New Roman" w:eastAsia="Calibri" w:hAnsi="Times New Roman" w:cs="Times New Roman"/>
        </w:rPr>
        <w:t>=</w:t>
      </w:r>
      <w:r w:rsidRPr="00274B4A">
        <w:rPr>
          <w:rFonts w:ascii="Times New Roman" w:eastAsia="Calibri" w:hAnsi="Times New Roman" w:cs="Times New Roman"/>
        </w:rPr>
        <w:t>0,012</w:t>
      </w:r>
    </w:p>
    <w:p w:rsidR="005A599B" w:rsidRPr="00274B4A" w:rsidRDefault="005A599B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Индекс эффективности программы в целом за 202</w:t>
      </w:r>
      <w:r w:rsidR="003B5FB4" w:rsidRPr="00274B4A">
        <w:rPr>
          <w:rFonts w:ascii="Times New Roman" w:eastAsia="Calibri" w:hAnsi="Times New Roman" w:cs="Times New Roman"/>
        </w:rPr>
        <w:t>2</w:t>
      </w:r>
      <w:r w:rsidRPr="00274B4A">
        <w:rPr>
          <w:rFonts w:ascii="Times New Roman" w:eastAsia="Calibri" w:hAnsi="Times New Roman" w:cs="Times New Roman"/>
        </w:rPr>
        <w:t xml:space="preserve"> год составляет:</w:t>
      </w:r>
    </w:p>
    <w:p w:rsidR="005A599B" w:rsidRPr="00274B4A" w:rsidRDefault="005A599B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  <w:lang w:val="en-US"/>
        </w:rPr>
        <w:t>I</w:t>
      </w:r>
      <w:r w:rsidRPr="00274B4A">
        <w:rPr>
          <w:rFonts w:ascii="Times New Roman" w:eastAsia="Calibri" w:hAnsi="Times New Roman" w:cs="Times New Roman"/>
        </w:rPr>
        <w:t xml:space="preserve">э= </w:t>
      </w:r>
      <w:r w:rsidR="003B5FB4" w:rsidRPr="00274B4A">
        <w:rPr>
          <w:rFonts w:ascii="Times New Roman" w:eastAsia="Calibri" w:hAnsi="Times New Roman" w:cs="Times New Roman"/>
        </w:rPr>
        <w:t>0,19</w:t>
      </w:r>
    </w:p>
    <w:p w:rsidR="003B5FB4" w:rsidRPr="00274B4A" w:rsidRDefault="008C558F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ab/>
      </w:r>
      <w:r w:rsidR="003B5FB4" w:rsidRPr="00274B4A">
        <w:rPr>
          <w:rFonts w:ascii="Times New Roman" w:eastAsia="Calibri" w:hAnsi="Times New Roman" w:cs="Times New Roman"/>
        </w:rPr>
        <w:t>Однако, по мнению муниципального внутреннего финансового контроля</w:t>
      </w:r>
      <w:r w:rsidRPr="00274B4A">
        <w:rPr>
          <w:rFonts w:ascii="Times New Roman" w:eastAsia="Calibri" w:hAnsi="Times New Roman" w:cs="Times New Roman"/>
        </w:rPr>
        <w:t>,</w:t>
      </w:r>
      <w:r w:rsidR="003B5FB4" w:rsidRPr="00274B4A">
        <w:rPr>
          <w:rFonts w:ascii="Times New Roman" w:eastAsia="Calibri" w:hAnsi="Times New Roman" w:cs="Times New Roman"/>
        </w:rPr>
        <w:t xml:space="preserve"> </w:t>
      </w:r>
    </w:p>
    <w:p w:rsidR="003B5FB4" w:rsidRPr="00274B4A" w:rsidRDefault="003B5FB4" w:rsidP="005A599B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Индекс результативности муниципальной программы в целом за 2022 год составляет:</w:t>
      </w:r>
    </w:p>
    <w:p w:rsidR="003B5FB4" w:rsidRPr="00274B4A" w:rsidRDefault="003B5FB4" w:rsidP="003B5FB4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proofErr w:type="spellStart"/>
      <w:r w:rsidRPr="00274B4A">
        <w:rPr>
          <w:rFonts w:ascii="Times New Roman" w:eastAsia="Calibri" w:hAnsi="Times New Roman" w:cs="Times New Roman"/>
          <w:lang w:eastAsia="ru-RU"/>
        </w:rPr>
        <w:t>Ip</w:t>
      </w:r>
      <w:proofErr w:type="spellEnd"/>
      <w:r w:rsidRPr="00274B4A">
        <w:rPr>
          <w:rFonts w:ascii="Times New Roman" w:eastAsia="Calibri" w:hAnsi="Times New Roman" w:cs="Times New Roman"/>
        </w:rPr>
        <w:t>= 1,1/10 = 0,11</w:t>
      </w:r>
    </w:p>
    <w:p w:rsidR="003B5FB4" w:rsidRPr="00274B4A" w:rsidRDefault="003B5FB4" w:rsidP="003B5FB4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Индекс эффективности программы в целом за 2022 год составляет:</w:t>
      </w:r>
    </w:p>
    <w:p w:rsidR="003B5FB4" w:rsidRPr="00274B4A" w:rsidRDefault="003B5FB4" w:rsidP="003B5FB4">
      <w:pPr>
        <w:spacing w:after="0" w:line="240" w:lineRule="auto"/>
        <w:ind w:left="-567" w:firstLine="425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  <w:lang w:val="en-US"/>
        </w:rPr>
        <w:t>I</w:t>
      </w:r>
      <w:r w:rsidRPr="00274B4A">
        <w:rPr>
          <w:rFonts w:ascii="Times New Roman" w:eastAsia="Calibri" w:hAnsi="Times New Roman" w:cs="Times New Roman"/>
        </w:rPr>
        <w:t>э= (5 373,21*0,11)/440 343,013 = 0,013</w:t>
      </w:r>
    </w:p>
    <w:p w:rsidR="005A599B" w:rsidRPr="00274B4A" w:rsidRDefault="00C371E8" w:rsidP="003B5F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>По данным У</w:t>
      </w:r>
      <w:r w:rsidR="005A599B" w:rsidRPr="00274B4A">
        <w:rPr>
          <w:rFonts w:ascii="Times New Roman" w:eastAsia="Times New Roman" w:hAnsi="Times New Roman" w:cs="Times New Roman"/>
          <w:lang w:eastAsia="ru-RU"/>
        </w:rPr>
        <w:t>правления архитектуры и градостроительства админист</w:t>
      </w:r>
      <w:r w:rsidR="008C558F" w:rsidRPr="00274B4A">
        <w:rPr>
          <w:rFonts w:ascii="Times New Roman" w:eastAsia="Times New Roman" w:hAnsi="Times New Roman" w:cs="Times New Roman"/>
          <w:lang w:eastAsia="ru-RU"/>
        </w:rPr>
        <w:t xml:space="preserve">рации городского округа Троицк </w:t>
      </w:r>
      <w:r w:rsidR="005A599B" w:rsidRPr="00274B4A">
        <w:rPr>
          <w:rFonts w:ascii="Times New Roman" w:eastAsia="Times New Roman" w:hAnsi="Times New Roman" w:cs="Times New Roman"/>
          <w:lang w:eastAsia="ru-RU"/>
        </w:rPr>
        <w:t>(Прило</w:t>
      </w:r>
      <w:r w:rsidR="008C558F" w:rsidRPr="00274B4A">
        <w:rPr>
          <w:rFonts w:ascii="Times New Roman" w:eastAsia="Times New Roman" w:hAnsi="Times New Roman" w:cs="Times New Roman"/>
          <w:lang w:eastAsia="ru-RU"/>
        </w:rPr>
        <w:t xml:space="preserve">жение №8) индекс эффективности </w:t>
      </w:r>
      <w:r w:rsidR="005A599B" w:rsidRPr="00274B4A">
        <w:rPr>
          <w:rFonts w:ascii="Times New Roman" w:eastAsia="Times New Roman" w:hAnsi="Times New Roman" w:cs="Times New Roman"/>
          <w:lang w:eastAsia="ru-RU"/>
        </w:rPr>
        <w:t>программы в целом составляет -</w:t>
      </w:r>
      <w:r w:rsidR="003B5FB4" w:rsidRPr="00274B4A">
        <w:rPr>
          <w:rFonts w:ascii="Times New Roman" w:eastAsia="Times New Roman" w:hAnsi="Times New Roman" w:cs="Times New Roman"/>
          <w:lang w:eastAsia="ru-RU"/>
        </w:rPr>
        <w:t>0,19</w:t>
      </w:r>
      <w:r w:rsidR="005A599B" w:rsidRPr="00274B4A">
        <w:rPr>
          <w:rFonts w:ascii="Times New Roman" w:eastAsia="Times New Roman" w:hAnsi="Times New Roman" w:cs="Times New Roman"/>
          <w:lang w:eastAsia="ru-RU"/>
        </w:rPr>
        <w:t>.</w:t>
      </w:r>
    </w:p>
    <w:p w:rsidR="003F2CDB" w:rsidRPr="00274B4A" w:rsidRDefault="00C371E8" w:rsidP="003F2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>Таким образом, Программа в целом по данным Управления архитектуры и</w:t>
      </w:r>
      <w:r w:rsidR="008C558F" w:rsidRPr="00274B4A">
        <w:rPr>
          <w:rFonts w:ascii="Times New Roman" w:eastAsia="Times New Roman" w:hAnsi="Times New Roman" w:cs="Times New Roman"/>
          <w:lang w:eastAsia="ru-RU"/>
        </w:rPr>
        <w:t xml:space="preserve"> градостроительства</w:t>
      </w:r>
      <w:r w:rsidR="00C93A15">
        <w:rPr>
          <w:rFonts w:ascii="Times New Roman" w:eastAsia="Times New Roman" w:hAnsi="Times New Roman" w:cs="Times New Roman"/>
          <w:lang w:eastAsia="ru-RU"/>
        </w:rPr>
        <w:t>,</w:t>
      </w:r>
      <w:r w:rsidR="008C558F" w:rsidRPr="00274B4A">
        <w:rPr>
          <w:rFonts w:ascii="Times New Roman" w:eastAsia="Times New Roman" w:hAnsi="Times New Roman" w:cs="Times New Roman"/>
          <w:lang w:eastAsia="ru-RU"/>
        </w:rPr>
        <w:t xml:space="preserve"> исполнена с очень </w:t>
      </w:r>
      <w:r w:rsidRPr="00274B4A">
        <w:rPr>
          <w:rFonts w:ascii="Times New Roman" w:eastAsia="Times New Roman" w:hAnsi="Times New Roman" w:cs="Times New Roman"/>
          <w:lang w:eastAsia="ru-RU"/>
        </w:rPr>
        <w:t>низким уровнем р</w:t>
      </w:r>
      <w:r w:rsidR="008C558F" w:rsidRPr="00274B4A">
        <w:rPr>
          <w:rFonts w:ascii="Times New Roman" w:eastAsia="Times New Roman" w:hAnsi="Times New Roman" w:cs="Times New Roman"/>
          <w:lang w:eastAsia="ru-RU"/>
        </w:rPr>
        <w:t>езультативности и эффективности, т.е. показатели результативности и эффективности не достигнуты.</w:t>
      </w:r>
      <w:bookmarkStart w:id="0" w:name="_GoBack"/>
      <w:bookmarkEnd w:id="0"/>
    </w:p>
    <w:p w:rsidR="00AE5E23" w:rsidRPr="00274B4A" w:rsidRDefault="003F2CDB" w:rsidP="003F2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b/>
          <w:lang w:eastAsia="ru-RU"/>
        </w:rPr>
        <w:t>3.</w:t>
      </w:r>
      <w:r w:rsidR="00AE5E23" w:rsidRPr="00274B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</w:t>
      </w:r>
      <w:r w:rsidR="00AE5E23" w:rsidRPr="00274B4A">
        <w:rPr>
          <w:rFonts w:ascii="Times New Roman" w:eastAsia="Calibri" w:hAnsi="Times New Roman" w:cs="Times New Roman"/>
          <w:b/>
          <w:color w:val="000000" w:themeColor="text1"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3F2CDB" w:rsidRPr="00274B4A" w:rsidRDefault="00AE5E23" w:rsidP="003F2C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В ходе проведения документальной проверки годовой отчетности по реализации муниципальной программы </w:t>
      </w:r>
      <w:r w:rsidRPr="00274B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«</w:t>
      </w:r>
      <w:r w:rsidR="00D845DA" w:rsidRPr="00274B4A">
        <w:rPr>
          <w:rFonts w:ascii="Times New Roman" w:hAnsi="Times New Roman" w:cs="Times New Roman"/>
          <w:color w:val="000000" w:themeColor="text1"/>
        </w:rPr>
        <w:t>Об утверждении муниципальной программы «Проектирование и строительство подъездной дороги и объектов рекреационно-спортивного комплекса муниципального автономного учреждения физической культуры и спорта «Городская спортивно-оздоровительная база «Лесная</w:t>
      </w:r>
      <w:r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37063D"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2022</w:t>
      </w:r>
      <w:r w:rsidRPr="00274B4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</w:t>
      </w:r>
      <w:r w:rsidR="008C6AE8" w:rsidRPr="00274B4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274B4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представлен оперативный отчет о выполнении муниципальной программы. </w:t>
      </w:r>
    </w:p>
    <w:p w:rsidR="00AE5E23" w:rsidRPr="00274B4A" w:rsidRDefault="00AE5E23" w:rsidP="00AE5E23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ab/>
      </w:r>
      <w:r w:rsidRPr="00274B4A">
        <w:rPr>
          <w:rFonts w:ascii="Times New Roman" w:eastAsia="Calibri" w:hAnsi="Times New Roman" w:cs="Times New Roman"/>
          <w:lang w:eastAsia="ru-RU"/>
        </w:rPr>
        <w:t>Отчет представлен в соответствии с утвержденной формой (Приложение 7).</w:t>
      </w:r>
    </w:p>
    <w:p w:rsidR="00853C2D" w:rsidRPr="00274B4A" w:rsidRDefault="00AE5E23" w:rsidP="003F2CDB">
      <w:pPr>
        <w:spacing w:after="0" w:line="256" w:lineRule="auto"/>
        <w:ind w:left="-567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>В соответствии с Приложением №7 вышеуказанного Порядка, фактическое исполнение</w:t>
      </w:r>
      <w:r w:rsidR="00853C2D" w:rsidRPr="00274B4A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2022</w:t>
      </w:r>
      <w:r w:rsidRPr="00274B4A">
        <w:rPr>
          <w:rFonts w:ascii="Times New Roman" w:eastAsia="Times New Roman" w:hAnsi="Times New Roman" w:cs="Times New Roman"/>
          <w:lang w:eastAsia="ru-RU"/>
        </w:rPr>
        <w:t xml:space="preserve"> год </w:t>
      </w:r>
      <w:r w:rsidR="00AE0F95" w:rsidRPr="00274B4A">
        <w:rPr>
          <w:rFonts w:ascii="Times New Roman" w:eastAsia="Times New Roman" w:hAnsi="Times New Roman" w:cs="Times New Roman"/>
          <w:lang w:eastAsia="ru-RU"/>
        </w:rPr>
        <w:t>Управлением архитектуры и градостроительства</w:t>
      </w:r>
      <w:r w:rsidRPr="00274B4A">
        <w:rPr>
          <w:rFonts w:ascii="Times New Roman" w:eastAsia="Times New Roman" w:hAnsi="Times New Roman" w:cs="Times New Roman"/>
          <w:lang w:eastAsia="ru-RU"/>
        </w:rPr>
        <w:t xml:space="preserve"> составляет- </w:t>
      </w:r>
      <w:r w:rsidR="00853C2D" w:rsidRPr="00274B4A">
        <w:rPr>
          <w:rFonts w:ascii="Times New Roman" w:eastAsia="Times New Roman" w:hAnsi="Times New Roman" w:cs="Times New Roman"/>
          <w:spacing w:val="-20"/>
          <w:lang w:eastAsia="ru-RU"/>
        </w:rPr>
        <w:t>5 373,21</w:t>
      </w:r>
      <w:r w:rsidRPr="00274B4A">
        <w:rPr>
          <w:rFonts w:ascii="Times New Roman" w:eastAsia="Times New Roman" w:hAnsi="Times New Roman" w:cs="Times New Roman"/>
          <w:spacing w:val="-20"/>
          <w:lang w:eastAsia="ru-RU"/>
        </w:rPr>
        <w:t xml:space="preserve"> </w:t>
      </w:r>
      <w:r w:rsidRPr="00274B4A">
        <w:rPr>
          <w:rFonts w:ascii="Times New Roman" w:eastAsia="Times New Roman" w:hAnsi="Times New Roman" w:cs="Times New Roman"/>
          <w:lang w:eastAsia="ru-RU"/>
        </w:rPr>
        <w:t>тыс. руб.</w:t>
      </w:r>
      <w:r w:rsidR="00AE0F95" w:rsidRPr="00274B4A">
        <w:rPr>
          <w:rFonts w:ascii="Times New Roman" w:eastAsia="Times New Roman" w:hAnsi="Times New Roman" w:cs="Times New Roman"/>
          <w:lang w:eastAsia="ru-RU"/>
        </w:rPr>
        <w:t xml:space="preserve">, что составляет – </w:t>
      </w:r>
      <w:r w:rsidR="00853C2D" w:rsidRPr="00274B4A">
        <w:rPr>
          <w:rFonts w:ascii="Times New Roman" w:eastAsia="Times New Roman" w:hAnsi="Times New Roman" w:cs="Times New Roman"/>
          <w:lang w:eastAsia="ru-RU"/>
        </w:rPr>
        <w:t>0,01</w:t>
      </w:r>
      <w:r w:rsidR="003F2CDB" w:rsidRPr="00274B4A">
        <w:rPr>
          <w:rFonts w:ascii="Times New Roman" w:eastAsia="Times New Roman" w:hAnsi="Times New Roman" w:cs="Times New Roman"/>
          <w:lang w:eastAsia="ru-RU"/>
        </w:rPr>
        <w:t xml:space="preserve"> %.</w:t>
      </w:r>
    </w:p>
    <w:p w:rsidR="00AE0F95" w:rsidRPr="00274B4A" w:rsidRDefault="003F2CDB" w:rsidP="00853C2D">
      <w:pPr>
        <w:overflowPunct w:val="0"/>
        <w:autoSpaceDE w:val="0"/>
        <w:autoSpaceDN w:val="0"/>
        <w:adjustRightInd w:val="0"/>
        <w:spacing w:after="0" w:line="240" w:lineRule="auto"/>
        <w:ind w:left="-709" w:firstLine="425"/>
        <w:jc w:val="both"/>
        <w:textAlignment w:val="baseline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274B4A">
        <w:rPr>
          <w:rFonts w:ascii="Times New Roman" w:eastAsia="Calibri" w:hAnsi="Times New Roman" w:cs="Times New Roman"/>
          <w:b/>
        </w:rPr>
        <w:t>3.1</w:t>
      </w:r>
      <w:r w:rsidR="00AE0F95" w:rsidRPr="00274B4A">
        <w:rPr>
          <w:rFonts w:ascii="Times New Roman" w:eastAsia="Calibri" w:hAnsi="Times New Roman" w:cs="Times New Roman"/>
          <w:b/>
        </w:rPr>
        <w:t>.</w:t>
      </w:r>
      <w:r w:rsidR="00AE0F95" w:rsidRPr="00274B4A">
        <w:rPr>
          <w:rFonts w:ascii="Times New Roman" w:eastAsia="Times New Roman" w:hAnsi="Times New Roman" w:cs="Times New Roman"/>
          <w:b/>
          <w:lang w:eastAsia="ru-RU"/>
        </w:rPr>
        <w:t xml:space="preserve"> Проверка достоверности отчетности реализации муниципальной программы.</w:t>
      </w:r>
    </w:p>
    <w:p w:rsidR="00E6491E" w:rsidRPr="00274B4A" w:rsidRDefault="00E6491E" w:rsidP="00E6491E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В ходе документальной проверки с целью проверки полноты и достоверности отчетности исполнения муниципальной программы выборочно были проверены документы к организованным и</w:t>
      </w:r>
      <w:r w:rsidR="00853C2D" w:rsidRPr="00274B4A">
        <w:rPr>
          <w:rFonts w:ascii="Times New Roman" w:eastAsia="Calibri" w:hAnsi="Times New Roman" w:cs="Times New Roman"/>
        </w:rPr>
        <w:t xml:space="preserve"> проведенным мероприятиям в 2022</w:t>
      </w:r>
      <w:r w:rsidRPr="00274B4A">
        <w:rPr>
          <w:rFonts w:ascii="Times New Roman" w:eastAsia="Calibri" w:hAnsi="Times New Roman" w:cs="Times New Roman"/>
        </w:rPr>
        <w:t xml:space="preserve"> году. </w:t>
      </w:r>
    </w:p>
    <w:p w:rsidR="00EC7CA2" w:rsidRPr="00274B4A" w:rsidRDefault="00BC76F0" w:rsidP="00BB6DB6">
      <w:pPr>
        <w:spacing w:after="0" w:line="240" w:lineRule="auto"/>
        <w:ind w:left="-709" w:firstLine="283"/>
        <w:jc w:val="both"/>
        <w:rPr>
          <w:rFonts w:ascii="Times New Roman" w:eastAsia="Calibri" w:hAnsi="Times New Roman" w:cs="Times New Roman"/>
        </w:rPr>
      </w:pPr>
      <w:r w:rsidRPr="00274B4A">
        <w:rPr>
          <w:rFonts w:ascii="Times New Roman" w:eastAsia="Calibri" w:hAnsi="Times New Roman" w:cs="Times New Roman"/>
        </w:rPr>
        <w:t>В ходе выборочной проверки исполнения муни</w:t>
      </w:r>
      <w:r w:rsidR="003F2CDB" w:rsidRPr="00274B4A">
        <w:rPr>
          <w:rFonts w:ascii="Times New Roman" w:eastAsia="Calibri" w:hAnsi="Times New Roman" w:cs="Times New Roman"/>
        </w:rPr>
        <w:t>ципальной программы выявлено</w:t>
      </w:r>
      <w:r w:rsidRPr="00274B4A">
        <w:rPr>
          <w:rFonts w:ascii="Times New Roman" w:eastAsia="Calibri" w:hAnsi="Times New Roman" w:cs="Times New Roman"/>
        </w:rPr>
        <w:t xml:space="preserve"> </w:t>
      </w:r>
      <w:r w:rsidR="00EC7CA2" w:rsidRPr="00274B4A">
        <w:rPr>
          <w:rFonts w:ascii="Times New Roman" w:eastAsia="Calibri" w:hAnsi="Times New Roman" w:cs="Times New Roman"/>
        </w:rPr>
        <w:t>нарушени</w:t>
      </w:r>
      <w:r w:rsidR="003F2CDB" w:rsidRPr="00274B4A">
        <w:rPr>
          <w:rFonts w:ascii="Times New Roman" w:eastAsia="Calibri" w:hAnsi="Times New Roman" w:cs="Times New Roman"/>
        </w:rPr>
        <w:t>е</w:t>
      </w:r>
      <w:r w:rsidR="00EC7CA2" w:rsidRPr="00274B4A">
        <w:rPr>
          <w:rFonts w:ascii="Times New Roman" w:eastAsia="Calibri" w:hAnsi="Times New Roman" w:cs="Times New Roman"/>
        </w:rPr>
        <w:t xml:space="preserve"> Федерального закона от 05.04.2013 № 44-ФЗ (ред. от </w:t>
      </w:r>
      <w:r w:rsidR="002B6689" w:rsidRPr="00274B4A">
        <w:rPr>
          <w:rFonts w:ascii="Times New Roman" w:eastAsia="Calibri" w:hAnsi="Times New Roman" w:cs="Times New Roman"/>
        </w:rPr>
        <w:t>28.12.2022) «</w:t>
      </w:r>
      <w:r w:rsidR="00EC7CA2" w:rsidRPr="00274B4A">
        <w:rPr>
          <w:rFonts w:ascii="Times New Roman" w:eastAsia="Calibri" w:hAnsi="Times New Roman" w:cs="Times New Roman"/>
        </w:rPr>
        <w:t>О контрактной системе в сфере закупок товаров, работ, услуг для обеспечения госуда</w:t>
      </w:r>
      <w:r w:rsidR="002B6689" w:rsidRPr="00274B4A">
        <w:rPr>
          <w:rFonts w:ascii="Times New Roman" w:eastAsia="Calibri" w:hAnsi="Times New Roman" w:cs="Times New Roman"/>
        </w:rPr>
        <w:t>рственных и муниципальных нужд»</w:t>
      </w:r>
      <w:r w:rsidR="003F2CDB" w:rsidRPr="00274B4A">
        <w:rPr>
          <w:rFonts w:ascii="Times New Roman" w:eastAsia="Calibri" w:hAnsi="Times New Roman" w:cs="Times New Roman"/>
        </w:rPr>
        <w:t xml:space="preserve">. </w:t>
      </w:r>
    </w:p>
    <w:p w:rsidR="00F409C8" w:rsidRPr="00274B4A" w:rsidRDefault="00F409C8" w:rsidP="002B66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409C8" w:rsidRPr="00274B4A" w:rsidRDefault="00F409C8" w:rsidP="00F409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72B69" w:rsidRPr="00274B4A" w:rsidRDefault="00A72B69" w:rsidP="0095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A72B69" w:rsidRPr="00274B4A" w:rsidRDefault="00A72B6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>Начальник отдела муниципального</w:t>
      </w:r>
    </w:p>
    <w:p w:rsidR="00F409C8" w:rsidRPr="00274B4A" w:rsidRDefault="00A72B6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 xml:space="preserve">внутреннего финансового контроля                                              </w:t>
      </w:r>
      <w:r w:rsidR="00A57859" w:rsidRPr="00274B4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950CA2" w:rsidRPr="00274B4A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F409C8" w:rsidRPr="00274B4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50CA2" w:rsidRPr="00274B4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57859" w:rsidRPr="00274B4A">
        <w:rPr>
          <w:rFonts w:ascii="Times New Roman" w:eastAsia="Times New Roman" w:hAnsi="Times New Roman" w:cs="Times New Roman"/>
          <w:lang w:eastAsia="ru-RU"/>
        </w:rPr>
        <w:t xml:space="preserve"> И.В. Кириченко</w:t>
      </w:r>
      <w:r w:rsidRPr="00274B4A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72B69" w:rsidRPr="00274B4A" w:rsidRDefault="00A72B6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950CA2" w:rsidRPr="00274B4A" w:rsidRDefault="00A72B6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</w:p>
    <w:p w:rsidR="00950CA2" w:rsidRPr="00274B4A" w:rsidRDefault="00A72B6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Calibri" w:hAnsi="Times New Roman" w:cs="Times New Roman"/>
        </w:rPr>
        <w:lastRenderedPageBreak/>
        <w:t xml:space="preserve">Отчет получил (а)     </w:t>
      </w:r>
    </w:p>
    <w:p w:rsidR="00950CA2" w:rsidRPr="00274B4A" w:rsidRDefault="00A72B6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Calibri" w:hAnsi="Times New Roman" w:cs="Times New Roman"/>
        </w:rPr>
        <w:t xml:space="preserve">Начальник управления </w:t>
      </w:r>
    </w:p>
    <w:p w:rsidR="00A72B69" w:rsidRPr="00274B4A" w:rsidRDefault="00A57859" w:rsidP="00950CA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274B4A">
        <w:rPr>
          <w:rFonts w:ascii="Times New Roman" w:eastAsia="Calibri" w:hAnsi="Times New Roman" w:cs="Times New Roman"/>
        </w:rPr>
        <w:t>архитектуры и градостроительства</w:t>
      </w:r>
      <w:r w:rsidR="00A72B69" w:rsidRPr="00274B4A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Pr="00274B4A">
        <w:rPr>
          <w:rFonts w:ascii="Times New Roman" w:eastAsia="Calibri" w:hAnsi="Times New Roman" w:cs="Times New Roman"/>
        </w:rPr>
        <w:t xml:space="preserve">    </w:t>
      </w:r>
      <w:r w:rsidR="00950CA2" w:rsidRPr="00274B4A">
        <w:rPr>
          <w:rFonts w:ascii="Times New Roman" w:eastAsia="Calibri" w:hAnsi="Times New Roman" w:cs="Times New Roman"/>
        </w:rPr>
        <w:t xml:space="preserve">                 </w:t>
      </w:r>
      <w:r w:rsidRPr="00274B4A">
        <w:rPr>
          <w:rFonts w:ascii="Times New Roman" w:eastAsia="Calibri" w:hAnsi="Times New Roman" w:cs="Times New Roman"/>
        </w:rPr>
        <w:t>В.А. Володин</w:t>
      </w:r>
      <w:r w:rsidR="00A72B69" w:rsidRPr="00274B4A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</w:p>
    <w:p w:rsidR="00A72B69" w:rsidRPr="00274B4A" w:rsidRDefault="00A72B69" w:rsidP="00A72B6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0" w:right="106"/>
        <w:rPr>
          <w:rFonts w:ascii="Times New Roman" w:eastAsia="Times New Roman" w:hAnsi="Times New Roman" w:cs="Times New Roman"/>
          <w:highlight w:val="green"/>
          <w:lang w:eastAsia="ru-RU"/>
        </w:rPr>
      </w:pPr>
    </w:p>
    <w:p w:rsidR="00E6491E" w:rsidRPr="00274B4A" w:rsidRDefault="00E6491E" w:rsidP="00E649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sectPr w:rsidR="00E6491E" w:rsidRPr="00274B4A" w:rsidSect="00BE1C6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67"/>
    <w:multiLevelType w:val="hybridMultilevel"/>
    <w:tmpl w:val="D4F2F0C6"/>
    <w:lvl w:ilvl="0" w:tplc="6B8A1F9C">
      <w:start w:val="1"/>
      <w:numFmt w:val="decimal"/>
      <w:lvlText w:val="%1."/>
      <w:lvlJc w:val="left"/>
      <w:pPr>
        <w:ind w:left="785" w:hanging="360"/>
      </w:pPr>
      <w:rPr>
        <w:rFonts w:asciiTheme="minorHAnsi" w:eastAsia="Calibr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3" w15:restartNumberingAfterBreak="0">
    <w:nsid w:val="1B9F6B6E"/>
    <w:multiLevelType w:val="hybridMultilevel"/>
    <w:tmpl w:val="A40AA14C"/>
    <w:lvl w:ilvl="0" w:tplc="4E20B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82A"/>
    <w:multiLevelType w:val="hybridMultilevel"/>
    <w:tmpl w:val="2A1E4660"/>
    <w:lvl w:ilvl="0" w:tplc="2398076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815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CBF"/>
    <w:multiLevelType w:val="hybridMultilevel"/>
    <w:tmpl w:val="3ECCA232"/>
    <w:lvl w:ilvl="0" w:tplc="C33A42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1220F6"/>
    <w:multiLevelType w:val="hybridMultilevel"/>
    <w:tmpl w:val="59021F34"/>
    <w:lvl w:ilvl="0" w:tplc="9D007808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9831FC"/>
    <w:multiLevelType w:val="hybridMultilevel"/>
    <w:tmpl w:val="78AE2C2C"/>
    <w:lvl w:ilvl="0" w:tplc="F0E2985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161760B"/>
    <w:multiLevelType w:val="hybridMultilevel"/>
    <w:tmpl w:val="AA0060DC"/>
    <w:lvl w:ilvl="0" w:tplc="E49614E2">
      <w:start w:val="3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682C75"/>
    <w:multiLevelType w:val="hybridMultilevel"/>
    <w:tmpl w:val="BE5EC4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5D1616"/>
    <w:multiLevelType w:val="hybridMultilevel"/>
    <w:tmpl w:val="A1D85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167" w:hanging="60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4" w15:restartNumberingAfterBreak="0">
    <w:nsid w:val="4EEF6A34"/>
    <w:multiLevelType w:val="hybridMultilevel"/>
    <w:tmpl w:val="DE5AA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73BE0E40"/>
    <w:multiLevelType w:val="hybridMultilevel"/>
    <w:tmpl w:val="E51618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908D7"/>
    <w:multiLevelType w:val="hybridMultilevel"/>
    <w:tmpl w:val="03041996"/>
    <w:lvl w:ilvl="0" w:tplc="F25E8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4"/>
  </w:num>
  <w:num w:numId="15">
    <w:abstractNumId w:val="0"/>
  </w:num>
  <w:num w:numId="16">
    <w:abstractNumId w:val="17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22"/>
    <w:rsid w:val="00011D74"/>
    <w:rsid w:val="00014DAD"/>
    <w:rsid w:val="0005504A"/>
    <w:rsid w:val="00077E6A"/>
    <w:rsid w:val="000D45DD"/>
    <w:rsid w:val="001020D9"/>
    <w:rsid w:val="00120BEF"/>
    <w:rsid w:val="001558A0"/>
    <w:rsid w:val="001E03A4"/>
    <w:rsid w:val="001E3DF0"/>
    <w:rsid w:val="001F511E"/>
    <w:rsid w:val="00213EBD"/>
    <w:rsid w:val="00274B4A"/>
    <w:rsid w:val="002824B8"/>
    <w:rsid w:val="002A6C22"/>
    <w:rsid w:val="002B6689"/>
    <w:rsid w:val="00366BDC"/>
    <w:rsid w:val="0037063D"/>
    <w:rsid w:val="00393121"/>
    <w:rsid w:val="00397242"/>
    <w:rsid w:val="003B10BA"/>
    <w:rsid w:val="003B5FB4"/>
    <w:rsid w:val="003F2CDB"/>
    <w:rsid w:val="00422FC9"/>
    <w:rsid w:val="004503CE"/>
    <w:rsid w:val="00466A9E"/>
    <w:rsid w:val="00490B83"/>
    <w:rsid w:val="004B1D9B"/>
    <w:rsid w:val="004C4765"/>
    <w:rsid w:val="004F2DBF"/>
    <w:rsid w:val="00501B54"/>
    <w:rsid w:val="00502EDD"/>
    <w:rsid w:val="005155E1"/>
    <w:rsid w:val="005157CF"/>
    <w:rsid w:val="00563F0F"/>
    <w:rsid w:val="0057571D"/>
    <w:rsid w:val="005A599B"/>
    <w:rsid w:val="005C769C"/>
    <w:rsid w:val="005F3743"/>
    <w:rsid w:val="006067CC"/>
    <w:rsid w:val="00697DCC"/>
    <w:rsid w:val="006A395B"/>
    <w:rsid w:val="006A44E0"/>
    <w:rsid w:val="006A67D8"/>
    <w:rsid w:val="00711DF4"/>
    <w:rsid w:val="00713928"/>
    <w:rsid w:val="007209CF"/>
    <w:rsid w:val="00720E0B"/>
    <w:rsid w:val="007336B9"/>
    <w:rsid w:val="007524E6"/>
    <w:rsid w:val="0077547C"/>
    <w:rsid w:val="00780E67"/>
    <w:rsid w:val="007A206C"/>
    <w:rsid w:val="007A77CF"/>
    <w:rsid w:val="007E6DE8"/>
    <w:rsid w:val="00851604"/>
    <w:rsid w:val="00853C2D"/>
    <w:rsid w:val="00896EAB"/>
    <w:rsid w:val="008A6154"/>
    <w:rsid w:val="008C558F"/>
    <w:rsid w:val="008C6AE8"/>
    <w:rsid w:val="00950CA2"/>
    <w:rsid w:val="0096211A"/>
    <w:rsid w:val="009860F7"/>
    <w:rsid w:val="009B424B"/>
    <w:rsid w:val="009F5F9F"/>
    <w:rsid w:val="00A34545"/>
    <w:rsid w:val="00A46180"/>
    <w:rsid w:val="00A57859"/>
    <w:rsid w:val="00A72B69"/>
    <w:rsid w:val="00A8096D"/>
    <w:rsid w:val="00AA5EC7"/>
    <w:rsid w:val="00AD3FBB"/>
    <w:rsid w:val="00AD6551"/>
    <w:rsid w:val="00AD7379"/>
    <w:rsid w:val="00AE0F95"/>
    <w:rsid w:val="00AE5E23"/>
    <w:rsid w:val="00B34B85"/>
    <w:rsid w:val="00B60458"/>
    <w:rsid w:val="00B855E8"/>
    <w:rsid w:val="00B96D9E"/>
    <w:rsid w:val="00BB11D2"/>
    <w:rsid w:val="00BB6DB6"/>
    <w:rsid w:val="00BC1523"/>
    <w:rsid w:val="00BC3BB1"/>
    <w:rsid w:val="00BC76F0"/>
    <w:rsid w:val="00BE1C66"/>
    <w:rsid w:val="00C342F6"/>
    <w:rsid w:val="00C371E8"/>
    <w:rsid w:val="00C42A8B"/>
    <w:rsid w:val="00C564A4"/>
    <w:rsid w:val="00C6738B"/>
    <w:rsid w:val="00C71611"/>
    <w:rsid w:val="00C76FC5"/>
    <w:rsid w:val="00C93A15"/>
    <w:rsid w:val="00C93FFC"/>
    <w:rsid w:val="00CA2C89"/>
    <w:rsid w:val="00D06721"/>
    <w:rsid w:val="00D2049A"/>
    <w:rsid w:val="00D325DA"/>
    <w:rsid w:val="00D63844"/>
    <w:rsid w:val="00D67D52"/>
    <w:rsid w:val="00D845DA"/>
    <w:rsid w:val="00DB3108"/>
    <w:rsid w:val="00DF77C7"/>
    <w:rsid w:val="00E04C5B"/>
    <w:rsid w:val="00E206E1"/>
    <w:rsid w:val="00E40D6B"/>
    <w:rsid w:val="00E46978"/>
    <w:rsid w:val="00E6491E"/>
    <w:rsid w:val="00EA5814"/>
    <w:rsid w:val="00EC7CA2"/>
    <w:rsid w:val="00ED0CB4"/>
    <w:rsid w:val="00F15BC3"/>
    <w:rsid w:val="00F409C8"/>
    <w:rsid w:val="00F42CA7"/>
    <w:rsid w:val="00F53003"/>
    <w:rsid w:val="00F72815"/>
    <w:rsid w:val="00F869D4"/>
    <w:rsid w:val="00FB4233"/>
    <w:rsid w:val="00FC713C"/>
    <w:rsid w:val="00FD2DDC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F632"/>
  <w15:docId w15:val="{66AFA93B-4055-4471-8795-442F40F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23"/>
    <w:pPr>
      <w:spacing w:after="0" w:line="240" w:lineRule="auto"/>
    </w:pPr>
  </w:style>
  <w:style w:type="character" w:styleId="a4">
    <w:name w:val="annotation reference"/>
    <w:rsid w:val="00F42CA7"/>
    <w:rPr>
      <w:sz w:val="16"/>
      <w:szCs w:val="16"/>
    </w:rPr>
  </w:style>
  <w:style w:type="paragraph" w:styleId="a5">
    <w:name w:val="annotation text"/>
    <w:basedOn w:val="a"/>
    <w:link w:val="a6"/>
    <w:rsid w:val="00F4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F42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aliases w:val="Варианты ответов,Абзац списка для документа"/>
    <w:basedOn w:val="a"/>
    <w:link w:val="aa"/>
    <w:uiPriority w:val="34"/>
    <w:qFormat/>
    <w:rsid w:val="006A67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Варианты ответов Знак,Абзац списка для документа Знак"/>
    <w:link w:val="a9"/>
    <w:uiPriority w:val="34"/>
    <w:locked/>
    <w:rsid w:val="006A67D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0F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C6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0">
    <w:name w:val="Table Simple 1"/>
    <w:basedOn w:val="a1"/>
    <w:uiPriority w:val="99"/>
    <w:semiHidden/>
    <w:unhideWhenUsed/>
    <w:rsid w:val="00C673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3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julja</dc:creator>
  <cp:lastModifiedBy>Adm4</cp:lastModifiedBy>
  <cp:revision>26</cp:revision>
  <dcterms:created xsi:type="dcterms:W3CDTF">2021-04-06T14:30:00Z</dcterms:created>
  <dcterms:modified xsi:type="dcterms:W3CDTF">2023-06-15T06:27:00Z</dcterms:modified>
</cp:coreProperties>
</file>