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6364" w14:textId="79C96818" w:rsidR="00A959D6" w:rsidRPr="00175625" w:rsidRDefault="00BE10CD" w:rsidP="001756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625">
        <w:rPr>
          <w:rFonts w:ascii="Times New Roman" w:hAnsi="Times New Roman" w:cs="Times New Roman"/>
          <w:b/>
          <w:bCs/>
          <w:sz w:val="28"/>
          <w:szCs w:val="28"/>
        </w:rPr>
        <w:t>Перечень мер, направленных на стабилизацию российской экономики и поддержку бизнеса в целом и отдельных отраслей</w:t>
      </w:r>
      <w:r w:rsidR="00C218DA" w:rsidRPr="00175625">
        <w:rPr>
          <w:rFonts w:ascii="Times New Roman" w:hAnsi="Times New Roman" w:cs="Times New Roman"/>
          <w:b/>
          <w:bCs/>
          <w:sz w:val="28"/>
          <w:szCs w:val="28"/>
        </w:rPr>
        <w:t xml:space="preserve"> в 2022 году</w:t>
      </w:r>
    </w:p>
    <w:p w14:paraId="154FCF3A" w14:textId="77777777" w:rsidR="00C218DA" w:rsidRPr="00175625" w:rsidRDefault="00C218DA" w:rsidP="0017562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175625">
        <w:rPr>
          <w:rFonts w:ascii="Times New Roman" w:hAnsi="Times New Roman" w:cs="Times New Roman"/>
          <w:b/>
          <w:i/>
        </w:rPr>
        <w:t xml:space="preserve">Данный материал не носит нормативного характера. Необходимо дополнительное ознакомление с официальными текстами нормативных актов по гиперссылкам, приведенным в таблице. </w:t>
      </w:r>
    </w:p>
    <w:p w14:paraId="1C70B794" w14:textId="04E06781" w:rsidR="00BE10CD" w:rsidRPr="00175625" w:rsidRDefault="00C218DA" w:rsidP="0017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175625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На федеральном уровне</w:t>
      </w:r>
    </w:p>
    <w:tbl>
      <w:tblPr>
        <w:tblW w:w="145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7796"/>
        <w:gridCol w:w="4072"/>
      </w:tblGrid>
      <w:tr w:rsidR="00C218DA" w:rsidRPr="00175625" w14:paraId="1EB0F0DF" w14:textId="77777777" w:rsidTr="00976AEF">
        <w:trPr>
          <w:tblHeader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6196" w14:textId="77BF3AC1" w:rsidR="00C218DA" w:rsidRPr="00175625" w:rsidRDefault="00C218DA" w:rsidP="001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hAnsi="Times New Roman" w:cs="Times New Roman"/>
              </w:rPr>
              <w:t>Вид субъекта предпринимательской деятельности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6B90" w14:textId="0691F5B6" w:rsidR="00C218DA" w:rsidRPr="00175625" w:rsidRDefault="00C218DA" w:rsidP="001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hAnsi="Times New Roman" w:cs="Times New Roman"/>
              </w:rPr>
              <w:t>Наименование меры поддержки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7CBB" w14:textId="3EADDCF3" w:rsidR="00C218DA" w:rsidRPr="00175625" w:rsidRDefault="00C218DA" w:rsidP="001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hAnsi="Times New Roman" w:cs="Times New Roman"/>
              </w:rPr>
              <w:t>Нормативный акт</w:t>
            </w:r>
          </w:p>
        </w:tc>
      </w:tr>
      <w:tr w:rsidR="00453E2B" w:rsidRPr="00175625" w14:paraId="5048D251" w14:textId="77777777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0701" w14:textId="4BA8A58E" w:rsidR="00453E2B" w:rsidRPr="00175625" w:rsidRDefault="00453E2B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предпринимательства, осуществляющие деятельность в отраслях, определенных Правительством Российской Федерации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1DCA51" w14:textId="23797AFD" w:rsidR="006D47BF" w:rsidRPr="00175625" w:rsidRDefault="006D47BF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исполнения заемщиком своих обязательств по кредитам или займам, полученным до 01.03.2022 ("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кредитные каникулы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 на срок, определенный заемщиком, но не более</w:t>
            </w:r>
            <w:r w:rsidR="00196B50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месяцев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591241" w14:textId="4227E83E" w:rsidR="006D47BF" w:rsidRPr="00175625" w:rsidRDefault="006D47BF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вместо приостановки платежей вправе </w:t>
            </w:r>
            <w:r w:rsidR="00C803E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уменьшить их размер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17A65E" w14:textId="1A8EBAC8" w:rsidR="00453E2B" w:rsidRPr="00175625" w:rsidRDefault="006D47BF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обратиться к</w:t>
            </w:r>
            <w:r w:rsidR="0029464D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кредитору </w:t>
            </w:r>
            <w:r w:rsidR="00196B50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</w:t>
            </w:r>
            <w:r w:rsidR="0029464D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  <w:r w:rsidR="00196B50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включительно.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52F8" w14:textId="2AF5530C" w:rsidR="00453E2B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document/403620528/entry/0" w:history="1">
              <w:r w:rsidR="00453E2B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="00453E2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08.03.2022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53E2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46-ФЗ</w:t>
            </w:r>
          </w:p>
          <w:p w14:paraId="4BB9C05F" w14:textId="77777777" w:rsidR="00453E2B" w:rsidRPr="00175625" w:rsidRDefault="00453E2B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15D2E8" w14:textId="5DABA057" w:rsidR="00453E2B" w:rsidRPr="00175625" w:rsidRDefault="00196B5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отраслей:</w:t>
            </w:r>
            <w:r w:rsidRPr="00175625">
              <w:rPr>
                <w:rFonts w:ascii="Times New Roman" w:hAnsi="Times New Roman" w:cs="Times New Roman"/>
              </w:rPr>
              <w:t xml:space="preserve"> </w:t>
            </w:r>
            <w:hyperlink r:id="rId6" w:anchor="/document/403688082/entry/0" w:history="1">
              <w:r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России от 10.03.2022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337</w:t>
            </w:r>
          </w:p>
        </w:tc>
      </w:tr>
      <w:tr w:rsidR="00C218DA" w:rsidRPr="00175625" w14:paraId="11C1C030" w14:textId="19147B16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5EED" w14:textId="0EE9EFC8" w:rsidR="00C218DA" w:rsidRPr="00175625" w:rsidRDefault="00C82644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организации и ИП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2ABCB" w14:textId="53E49DDC" w:rsidR="00C218DA" w:rsidRPr="00175625" w:rsidRDefault="00875826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Приостановление принятия решений о блокировке счетов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налоговыми органами 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01.06.2022.</w:t>
            </w:r>
          </w:p>
          <w:p w14:paraId="4CE53F7F" w14:textId="7F57EA4C" w:rsidR="00C218DA" w:rsidRPr="00175625" w:rsidRDefault="00DA554B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для н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алогоплательщик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понесли ущерб из-за финансово-экономических санкций, </w:t>
            </w:r>
            <w:r w:rsidR="00C218DA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обратиться в налоговый орган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их учета,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r w:rsidR="00C218DA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отлож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ения</w:t>
            </w:r>
            <w:r w:rsidR="00C218DA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срок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C218DA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применения мер взыскания до предельных 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налоговым законодательством.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2B177" w14:textId="1F0206F3" w:rsidR="00C218DA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hyperlink r:id="rId8" w:anchor="/document/403630906/entry/0" w:history="1">
                <w:r w:rsidR="00C218DA" w:rsidRPr="00175625">
                  <w:rPr>
                    <w:rFonts w:ascii="Times New Roman" w:hAnsi="Times New Roman" w:cs="Times New Roman"/>
                    <w:color w:val="3272C0"/>
                    <w:lang w:eastAsia="ru-RU"/>
                  </w:rPr>
                  <w:t>Ин</w:t>
                </w:r>
              </w:hyperlink>
              <w:r w:rsidR="00C218DA" w:rsidRPr="00175625">
                <w:rPr>
                  <w:rFonts w:ascii="Times New Roman" w:hAnsi="Times New Roman" w:cs="Times New Roman"/>
                  <w:color w:val="3272C0"/>
                  <w:lang w:eastAsia="ru-RU"/>
                </w:rPr>
                <w:t>формация</w:t>
              </w:r>
            </w:hyperlink>
            <w:r w:rsidR="00C82644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 от 10.03.2022</w:t>
            </w:r>
          </w:p>
        </w:tc>
      </w:tr>
      <w:tr w:rsidR="00D962A0" w:rsidRPr="00175625" w14:paraId="1D5290DC" w14:textId="77777777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1435" w14:textId="464137CB" w:rsidR="00D962A0" w:rsidRPr="00175625" w:rsidRDefault="00D962A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hAnsi="Times New Roman" w:cs="Times New Roman"/>
                <w:sz w:val="24"/>
                <w:szCs w:val="24"/>
              </w:rPr>
              <w:t>Члены строительных СРО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EF79" w14:textId="149561CF" w:rsidR="00D962A0" w:rsidRPr="00175625" w:rsidRDefault="00875826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для </w:t>
            </w:r>
            <w:r w:rsidR="00D962A0" w:rsidRPr="00175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 в сфере строительства предоставлять займы своим членам </w:t>
            </w:r>
            <w:r w:rsidR="00D962A0" w:rsidRPr="00175625">
              <w:rPr>
                <w:rFonts w:ascii="Times New Roman" w:hAnsi="Times New Roman" w:cs="Times New Roman"/>
                <w:sz w:val="24"/>
                <w:szCs w:val="24"/>
              </w:rPr>
              <w:t>за счет средств компенсационного фонда обеспечения договорных обязательств</w:t>
            </w:r>
            <w:r w:rsidRPr="0017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54B" w:rsidRPr="00175625">
              <w:rPr>
                <w:rFonts w:ascii="Times New Roman" w:hAnsi="Times New Roman" w:cs="Times New Roman"/>
                <w:sz w:val="24"/>
                <w:szCs w:val="24"/>
              </w:rPr>
              <w:t>до 31.12.2022.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6A7C" w14:textId="70BE088B" w:rsidR="00D962A0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403620528/entry/0" w:history="1">
              <w:r w:rsidR="00D962A0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="00D962A0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08.03.2022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962A0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46-ФЗ</w:t>
            </w:r>
          </w:p>
          <w:p w14:paraId="006AD3F8" w14:textId="77777777" w:rsidR="00D962A0" w:rsidRPr="00175625" w:rsidRDefault="00D962A0" w:rsidP="00175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18DA" w:rsidRPr="00175625" w14:paraId="06AEB889" w14:textId="14420E5C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11031" w14:textId="027D15DD" w:rsidR="00C218DA" w:rsidRPr="00175625" w:rsidRDefault="008C71F7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субсидий, выданных в рамках госпрограмм по развитию промышленности и научно-технологическому развитию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DEBE0" w14:textId="2EFAD012" w:rsidR="00C218DA" w:rsidRPr="00175625" w:rsidRDefault="008C71F7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Отсрочка </w:t>
            </w:r>
            <w:r w:rsidR="00A800C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12 месяцев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исполнению обязательств по субсидиям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заявлению получателя</w:t>
            </w:r>
            <w:r w:rsidR="00A800C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невозможности достижения в 2022 году показателей результативности </w:t>
            </w:r>
            <w:r w:rsidR="00A800C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независящим от получателя субсидии обстоятельствам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введением ограничительных мер со стороны иностранных государств</w:t>
            </w:r>
            <w:r w:rsidR="00DA554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984B" w14:textId="423D10D9" w:rsidR="00C218DA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403629024/entry/0" w:history="1">
              <w:r w:rsidR="00C218DA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Правительства России от 09.03.2022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308</w:t>
            </w:r>
          </w:p>
        </w:tc>
      </w:tr>
      <w:tr w:rsidR="00453E2B" w:rsidRPr="00175625" w14:paraId="53EF9170" w14:textId="77777777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FEE3" w14:textId="13220541" w:rsidR="00453E2B" w:rsidRPr="00175625" w:rsidRDefault="007C131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ООО, АО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6931D" w14:textId="0BDC5955" w:rsidR="00453E2B" w:rsidRPr="00175625" w:rsidRDefault="00453E2B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ООО и АО </w:t>
            </w:r>
            <w:r w:rsidR="00875826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продолжать деятельность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826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снижени</w:t>
            </w:r>
            <w:r w:rsidR="00875826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стоимости чистых активов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2022 года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возникнет обязанность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общества или уменьшени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уставного капитала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5D23697" w14:textId="7D3D2D2B" w:rsidR="00453E2B" w:rsidRPr="00175625" w:rsidRDefault="00453E2B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до 31 декабря 2022 года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приобретать размещенные ими акции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определенных условиях)</w:t>
            </w:r>
            <w:r w:rsidR="00DA554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7A0D" w14:textId="3C407AB4" w:rsidR="00453E2B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403620528/entry/0" w:history="1">
              <w:r w:rsidR="00453E2B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="00453E2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08.03.2022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53E2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46-ФЗ</w:t>
            </w:r>
          </w:p>
          <w:p w14:paraId="3C84F674" w14:textId="77777777" w:rsidR="00453E2B" w:rsidRPr="00175625" w:rsidRDefault="00453E2B" w:rsidP="00175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18DA" w:rsidRPr="00175625" w14:paraId="4FEDF73B" w14:textId="6E75F1D3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091F" w14:textId="32741221" w:rsidR="00C218DA" w:rsidRPr="00175625" w:rsidRDefault="003911D6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включенные в отраслевые перечни системообразующих организаций российской экономики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D3FBA" w14:textId="77777777" w:rsidR="00875826" w:rsidRPr="00175625" w:rsidRDefault="003911D6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для возмещения затрат на производство и реализацию товаров, выполнение работ, оказание услуг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661987" w14:textId="700EA783" w:rsidR="00C218DA" w:rsidRPr="00175625" w:rsidRDefault="003911D6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направить заявление в федеральный орган исполнительной власти, к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урирующий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отрасль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экономики, в которой организация является системообразующей</w:t>
            </w:r>
            <w:r w:rsidR="00DA554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B1D65" w14:textId="4D2A214A" w:rsidR="00C218DA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403615688/entry/0" w:history="1">
              <w:r w:rsidR="00C218DA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Правительства России от 06.03.2022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296</w:t>
            </w:r>
          </w:p>
        </w:tc>
      </w:tr>
      <w:tr w:rsidR="00C218DA" w:rsidRPr="00175625" w14:paraId="5707A71B" w14:textId="0EED8B87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17E02" w14:textId="5EF5988B" w:rsidR="00C218DA" w:rsidRPr="00175625" w:rsidRDefault="00C82644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организации и ИП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74705E" w14:textId="0877FD3C" w:rsidR="00C218DA" w:rsidRPr="00175625" w:rsidRDefault="00DA554B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Приостановление подачи заявлений о банкротстве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должников н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алоговы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C82644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2644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E7BAE" w14:textId="22864FF8" w:rsidR="00C218DA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218DA" w:rsidRPr="001756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Информация</w:t>
              </w:r>
            </w:hyperlink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ФНС России от 05.03.2022</w:t>
            </w:r>
          </w:p>
        </w:tc>
      </w:tr>
      <w:tr w:rsidR="00C218DA" w:rsidRPr="00175625" w14:paraId="12CD5FA4" w14:textId="7DFB7D84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21E93" w14:textId="7E3AA5F5" w:rsidR="00C218DA" w:rsidRPr="00175625" w:rsidRDefault="00D962A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предпринимательства, принимающие оплату от физлиц за товары (работы, услуги) в сервисе быстрых платежей платежной системы Банка России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9465E" w14:textId="23ED04A4" w:rsidR="00C218DA" w:rsidRPr="00175625" w:rsidRDefault="00D962A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C218DA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озмещение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1F7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кредитными организациями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банковской </w:t>
            </w:r>
            <w:r w:rsidR="00C218DA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комиссии за пользование системой быстрых платежей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 января по 1 июля 2022 года.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B3C05" w14:textId="53022050" w:rsidR="00C218DA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document/403611410/entry/0" w:history="1">
              <w:r w:rsidR="00C218DA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Распоряжение</w:t>
              </w:r>
            </w:hyperlink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Правительства России от 04.03.2022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411-р</w:t>
            </w:r>
          </w:p>
        </w:tc>
      </w:tr>
      <w:tr w:rsidR="00C218DA" w:rsidRPr="00175625" w14:paraId="18004C45" w14:textId="56EDBC78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ECB1" w14:textId="4D6714B8" w:rsidR="00B63B04" w:rsidRPr="00B63B04" w:rsidRDefault="00594CCC" w:rsidP="00B63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3A2B91" w:rsidRPr="001756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Аккредитованные ИТ-компании</w:t>
              </w:r>
            </w:hyperlink>
            <w:r w:rsidR="00B63B04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соблюдении ряда условий</w:t>
            </w:r>
            <w:r w:rsidR="005A4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(структура доходов, численность работников)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DFBA3" w14:textId="3B6B33B3" w:rsidR="00B63B04" w:rsidRPr="00175625" w:rsidRDefault="00DA554B" w:rsidP="00B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Освобождение от уплаты налога на прибыль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31.12.2024</w:t>
            </w:r>
          </w:p>
          <w:p w14:paraId="05AB4EF2" w14:textId="5770D57A" w:rsidR="00C218DA" w:rsidRPr="00175625" w:rsidRDefault="00C218DA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42B8B" w14:textId="6733F6DB" w:rsidR="00C218DA" w:rsidRPr="00175625" w:rsidRDefault="00B63B04" w:rsidP="00B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6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anchor="d1Ji22TGiLJxahiJ" w:history="1">
              <w:r w:rsidRPr="005A49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B6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26.03.2022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67-ФЗ</w:t>
            </w:r>
          </w:p>
        </w:tc>
      </w:tr>
      <w:tr w:rsidR="003456B9" w:rsidRPr="00175625" w14:paraId="0A54AC43" w14:textId="77777777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12D65" w14:textId="184537A7" w:rsidR="003456B9" w:rsidRDefault="003456B9" w:rsidP="00B63B04">
            <w:pPr>
              <w:spacing w:after="0" w:line="240" w:lineRule="auto"/>
            </w:pPr>
            <w:r>
              <w:lastRenderedPageBreak/>
              <w:t xml:space="preserve">Все организации 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06C5" w14:textId="60F67BF6" w:rsidR="005A7825" w:rsidRPr="005A7825" w:rsidRDefault="005A7825" w:rsidP="005A7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A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тмен</w:t>
            </w:r>
            <w:r w:rsidRPr="005A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Pr="005A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2022-2023 годы повышенн</w:t>
            </w:r>
            <w:r w:rsidRPr="005A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ой</w:t>
            </w:r>
            <w:r w:rsidRPr="005A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ставк</w:t>
            </w:r>
            <w:r w:rsidRPr="005A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5A7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пеней</w:t>
            </w:r>
            <w:r w:rsidRPr="005A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организаций за просрочку налоговых платежей, длящуюся свыше 30 дней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5B74B0B" w14:textId="71C515D1" w:rsidR="003456B9" w:rsidRPr="005A7825" w:rsidRDefault="005A7825" w:rsidP="005A78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9 марта 2022 по 31 декабря 2023 пени рассчитыва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ются</w:t>
            </w:r>
            <w:r w:rsidRPr="005A78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исходя из 1/300 ставки рефинансирования независимо от длительности просрочки.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BD30" w14:textId="7F51C542" w:rsidR="003456B9" w:rsidRPr="00B63B04" w:rsidRDefault="003456B9" w:rsidP="00B63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B6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anchor="d1Ji22TGiLJxahiJ" w:history="1">
              <w:r w:rsidRPr="005A49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B6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26.03.2022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3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67-ФЗ</w:t>
            </w:r>
          </w:p>
        </w:tc>
      </w:tr>
      <w:tr w:rsidR="00C218DA" w:rsidRPr="00175625" w14:paraId="52982B83" w14:textId="12E77F8A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6A820" w14:textId="3A46EBFE" w:rsidR="00C218DA" w:rsidRPr="00175625" w:rsidRDefault="00976AEF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ИП, осуществляющие научные исследования и опытно-конструкторские разработки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FF008" w14:textId="4064AEC9" w:rsidR="00C218DA" w:rsidRPr="00175625" w:rsidRDefault="00976AEF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Расширение </w:t>
            </w:r>
            <w:r w:rsidR="00C218DA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действующего механизма льготного налогообложения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74298" w:rsidRPr="0007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включаются в состав прочих расходов в размере фактических затрат с коэффициентом 1,5</w:t>
            </w:r>
            <w:r w:rsidR="0007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74298" w:rsidRPr="00074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59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виды </w:t>
            </w:r>
            <w:r w:rsidR="00594CCC" w:rsidRPr="0059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исследований и опытно-конструкторских разработок</w:t>
            </w:r>
            <w:r w:rsidR="0059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49757" w14:textId="4CD2C48B" w:rsidR="00C218DA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/document/403581962/entry/0" w:history="1">
              <w:r w:rsidR="00C218DA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Правительства России от 18.02.2022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218D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</w:t>
            </w:r>
          </w:p>
        </w:tc>
      </w:tr>
      <w:tr w:rsidR="00DB1005" w:rsidRPr="00175625" w14:paraId="04DF72C3" w14:textId="05B7D265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363F" w14:textId="1988D88C" w:rsidR="00DB1005" w:rsidRPr="00175625" w:rsidRDefault="00C76A0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организации и ИП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187F6" w14:textId="58E61882" w:rsidR="00DB1005" w:rsidRPr="00175625" w:rsidRDefault="00DB1005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Приостановление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конца 2022 года пров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едения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1E44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8D1E44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(надзорных</w:t>
            </w:r>
            <w:r w:rsidR="008D1E44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мероприяти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="00F54A0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A0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r w:rsidR="002E176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</w:t>
            </w:r>
            <w:r w:rsidR="002E176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1B040924" w14:textId="32E28370" w:rsidR="00DB1005" w:rsidRPr="00175625" w:rsidRDefault="00C824D5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 конца 2022 года 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внеплановы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контрольны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1E44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(надзорны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8D1E44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="00DA554B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исключительных случаях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согласованию с прокуратурой</w:t>
            </w:r>
            <w:r w:rsidR="00DA554B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F2BC7" w14:textId="21DD8670" w:rsidR="00DB1005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/document/403681894/entry/0" w:history="1">
              <w:r w:rsidR="00DB1005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="0099715F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России от 10</w:t>
            </w:r>
            <w:r w:rsidR="0099715F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B0FE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DB1005" w:rsidRPr="00175625" w14:paraId="15E1E70E" w14:textId="790F6F3F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7FE8" w14:textId="4CAF1C37" w:rsidR="00DB1005" w:rsidRPr="00175625" w:rsidRDefault="00F54A0A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валютных операций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BCA89" w14:textId="77777777" w:rsidR="00DA554B" w:rsidRPr="00175625" w:rsidRDefault="00DA554B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Приостановление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налоговыми органами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проверок соблюдения валютного законодательства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Закону "О валютном регулировании и контроле" (однако к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онтролиру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 валютных ограничений, предусмотренных вновь принятыми </w:t>
            </w:r>
            <w:hyperlink r:id="rId20" w:anchor="/multilink/57750630/paragraph/487/number/0" w:history="1">
              <w:r w:rsidR="00DB1005" w:rsidRPr="001756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указами </w:t>
              </w:r>
            </w:hyperlink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РФ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907A8C1" w14:textId="26672DCA" w:rsidR="00DB1005" w:rsidRPr="00175625" w:rsidRDefault="00DA554B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обстоятельств, связанных с деятельностью в режиме санкций, в 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 о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бстоятельств, смягчающих или исключающих ответственность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BAAC3" w14:textId="5FB1D712" w:rsidR="00DB1005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B1005" w:rsidRPr="001756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Информация</w:t>
              </w:r>
            </w:hyperlink>
            <w:r w:rsidR="0099715F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 от 10.03.2022</w:t>
            </w:r>
          </w:p>
        </w:tc>
      </w:tr>
      <w:tr w:rsidR="00DB1005" w:rsidRPr="00175625" w14:paraId="1C847398" w14:textId="0642E3D1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6AC2" w14:textId="5D315F06" w:rsidR="00DB1005" w:rsidRPr="00175625" w:rsidRDefault="002E1765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предпринимательства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75D54B" w14:textId="755D1329" w:rsidR="00DB1005" w:rsidRPr="00175625" w:rsidRDefault="00DA554B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Отказ от проведения </w:t>
            </w:r>
            <w:r w:rsidR="00C824D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31.12.2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022 плановы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проверок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Закону </w:t>
            </w:r>
            <w:r w:rsidR="002E176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защите прав юридических лиц и индивидуальных предпринимателей при </w:t>
            </w:r>
            <w:r w:rsidR="002E176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осуществлении государственного контроля (надзора) и муниципального контроля"</w:t>
            </w:r>
            <w:r w:rsidR="00C824D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рядом исключений)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8EC2" w14:textId="7426E6BE" w:rsidR="00DB1005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/document/403620528/entry/0" w:history="1">
              <w:r w:rsidR="00DB1005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08.03.2022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46-ФЗ</w:t>
            </w:r>
          </w:p>
        </w:tc>
      </w:tr>
      <w:tr w:rsidR="0099715F" w:rsidRPr="00175625" w14:paraId="660BDBB8" w14:textId="77777777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66C4F" w14:textId="3BA0E791" w:rsidR="0099715F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99715F" w:rsidRPr="001756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Аккредитованные ИТ-компании</w:t>
              </w:r>
            </w:hyperlink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5C473" w14:textId="681432D0" w:rsidR="0099715F" w:rsidRPr="00175625" w:rsidRDefault="002F7E8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Отказ от проведения </w:t>
            </w:r>
            <w:r w:rsidR="00C824D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2E176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31.12.2024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плановых проверок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2E176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60FF" w14:textId="24E27457" w:rsidR="0099715F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/document/403620528/entry/0" w:history="1">
              <w:r w:rsidR="002E1765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="002E176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08.03.2022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E176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46-ФЗ</w:t>
            </w:r>
          </w:p>
        </w:tc>
      </w:tr>
      <w:tr w:rsidR="00DB1005" w:rsidRPr="00175625" w14:paraId="492B9AFC" w14:textId="5FB51045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A093F" w14:textId="288A9A41" w:rsidR="00DB1005" w:rsidRPr="00175625" w:rsidRDefault="007B1D0D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участники закупок</w:t>
            </w:r>
            <w:r w:rsidR="00976AEF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государственных и муниципальных нужд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89AEF" w14:textId="6612E139" w:rsidR="007B1D0D" w:rsidRPr="00175625" w:rsidRDefault="002F7E8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соглашению сторон 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существенных условий контрактов,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заключенных до 1 января 2023 г., с соблюдением положений чч. 1.3 - 1.6 ст. 95 Закона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44-ФЗ и на основании решения Правительства</w:t>
            </w:r>
            <w:r w:rsidR="007B1D0D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B1D0D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исполнительного органа субъекта РФ или местной администрации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AF7E895" w14:textId="77777777" w:rsidR="007B1D0D" w:rsidRPr="00175625" w:rsidRDefault="007B1D0D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3F7DE" w14:textId="5D168A3D" w:rsidR="00DB1005" w:rsidRPr="00175625" w:rsidRDefault="002F7E8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B1D0D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установить 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случаи списания неустоек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неисполнение контрактов.</w:t>
            </w:r>
          </w:p>
          <w:p w14:paraId="44D8B885" w14:textId="2F4C7B3F" w:rsidR="00DB1005" w:rsidRPr="00175625" w:rsidRDefault="00DB1005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E07B9" w14:textId="1B80E979" w:rsidR="00DB1005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/document/403620528/entry/8" w:history="1">
              <w:r w:rsidR="00DB1005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Федеральный закон</w:t>
              </w:r>
            </w:hyperlink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 08.03.2022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46-ФЗ</w:t>
            </w:r>
          </w:p>
        </w:tc>
      </w:tr>
      <w:tr w:rsidR="00DB1005" w:rsidRPr="00175625" w14:paraId="23FC917E" w14:textId="26BB2A30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F94F2E" w14:textId="3DEBC3E2" w:rsidR="00DB1005" w:rsidRPr="00175625" w:rsidRDefault="00092239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Заказчики, осуществляющие закупку  по  Федеральному закону № 223-ФЗ "О закупках товаров, работ, услуг отдельными видами юридических лиц", в отношении которых введены иностранные санкции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81AE4" w14:textId="2226A7E9" w:rsidR="00DB1005" w:rsidRPr="00175625" w:rsidRDefault="002F7E80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Отказ от размещения в ЕИС сведении </w:t>
            </w:r>
            <w:r w:rsidR="00DB1005"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закупках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поставщиках, с которыми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заказчиками заключены договоры.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B2A48" w14:textId="28273816" w:rsidR="00DB1005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/document/403621868/entry/0" w:history="1">
              <w:r w:rsidR="00DB1005" w:rsidRPr="00175625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Постановление</w:t>
              </w:r>
            </w:hyperlink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Правительства РФ 06.03.2022 </w:t>
            </w:r>
            <w:r w:rsidR="00875826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B1005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301</w:t>
            </w:r>
          </w:p>
          <w:p w14:paraId="754E2F14" w14:textId="117C104A" w:rsidR="00DB1005" w:rsidRPr="00175625" w:rsidRDefault="00DB1005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4B7" w:rsidRPr="00175625" w14:paraId="06521B43" w14:textId="77777777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6BC6B" w14:textId="13EDCFDB" w:rsidR="00AA34B7" w:rsidRPr="00175625" w:rsidRDefault="00AA34B7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ИП, осуществляющие ряд видов деятельности, требующих разрешений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C85FC" w14:textId="7D743345" w:rsidR="00AA34B7" w:rsidRPr="00175625" w:rsidRDefault="00AA34B7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Продление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12 месяцев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сроков действия </w:t>
            </w:r>
            <w:r w:rsidR="008109D0" w:rsidRPr="008109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ряда лицензий, сертификатов соответствия, деклараций о соответствии на серийную продукцию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других видов разрешительных документов.</w:t>
            </w:r>
          </w:p>
          <w:p w14:paraId="4347306F" w14:textId="6DDFE2D6" w:rsidR="00AA34B7" w:rsidRPr="00175625" w:rsidRDefault="00AA34B7" w:rsidP="0081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их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упрощенного получения или переоформления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 году.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6C8B5" w14:textId="500842B2" w:rsidR="00AA34B7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A34B7" w:rsidRPr="001756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AA34B7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12.03.2022 N 353</w:t>
            </w:r>
            <w:r w:rsidR="008D4C21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4B7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особенностях разрешительной деятельности в Российской Федерации в 2022 году"</w:t>
            </w:r>
          </w:p>
          <w:p w14:paraId="1D19EAD1" w14:textId="77777777" w:rsidR="00AA34B7" w:rsidRPr="00175625" w:rsidRDefault="00AA34B7" w:rsidP="001756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6EBA" w:rsidRPr="00175625" w14:paraId="52D98CB6" w14:textId="77777777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8BE7E" w14:textId="3D1C7EB9" w:rsidR="00336EBA" w:rsidRPr="00175625" w:rsidRDefault="00336EBA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организации и ИП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A0CAA" w14:textId="71786238" w:rsidR="00336EBA" w:rsidRPr="00175625" w:rsidRDefault="00336EBA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Приостановление действия тарифов, применяемых уполномоченными торгово-промышленными палатами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деятельности по свидетельствованию обстоятельств непреодолимой силы по договорам (контрактам), заключенным в рамках внутрироссийской экономической деятельности, с 10 марта по 30 апреля 2022 года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8BD58AC" w14:textId="77777777" w:rsidR="00336EBA" w:rsidRPr="00175625" w:rsidRDefault="00336EBA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F0D04D" w14:textId="3F10775B" w:rsidR="00336EBA" w:rsidRPr="00175625" w:rsidRDefault="00336EBA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Приостановление действия тарифов 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осуществляемое 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ТПП РФ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рассмотрение заявлений и оформление сертификата о свидетельствовании обстоятельств непреодолимой силы (форс-мажора) с 10 марта по 30 апреля 2022 года</w:t>
            </w: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599BA" w14:textId="7FA6AC68" w:rsidR="00336EBA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36EBA" w:rsidRPr="001756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336EB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ТПП РФ от 09.03.2022 N 24</w:t>
            </w:r>
          </w:p>
          <w:p w14:paraId="1773DC5D" w14:textId="7457262D" w:rsidR="00336EBA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hyperlink r:id="rId29" w:history="1">
              <w:r w:rsidR="00336EBA" w:rsidRPr="001756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336EBA"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ТПП РФ от 09.03.2022 N 25</w:t>
            </w:r>
          </w:p>
        </w:tc>
      </w:tr>
      <w:tr w:rsidR="00F8173D" w:rsidRPr="00175625" w14:paraId="4E660C2B" w14:textId="77777777" w:rsidTr="00976AEF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46E2B" w14:textId="2FD91756" w:rsidR="00F8173D" w:rsidRPr="00175625" w:rsidRDefault="00F8173D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E2302" w14:textId="06377EFE" w:rsidR="00F8173D" w:rsidRPr="00175625" w:rsidRDefault="00F8173D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Льготное кредитование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возможность</w:t>
            </w:r>
            <w:r w:rsidR="00F7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получить оборотные кредиты сроком до одного года, а также инвестиционные кредиты на срок до трех лет, по ставке не выше 15% годовых для малых предприятий, не выше 13,5% для средних предприятий.</w:t>
            </w:r>
          </w:p>
          <w:p w14:paraId="2E037037" w14:textId="151BDFF5" w:rsidR="00F8173D" w:rsidRPr="00175625" w:rsidRDefault="00F8173D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кредитования составит 340 млрд рублей. Срок действия программы - до 30 декабря 2022 года.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99561" w14:textId="77777777" w:rsidR="00F8173D" w:rsidRDefault="00F8173D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</w:t>
            </w:r>
            <w:hyperlink r:id="rId30" w:history="1">
              <w:r w:rsidRPr="001756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сообщение</w:t>
              </w:r>
            </w:hyperlink>
            <w:r w:rsidRPr="00175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Банка России от 05.03.2022</w:t>
            </w:r>
          </w:p>
          <w:p w14:paraId="54F4CCEA" w14:textId="5BE20C0F" w:rsidR="00F74F04" w:rsidRPr="00175625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F74F04" w:rsidRPr="00F74F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 банков</w:t>
              </w:r>
            </w:hyperlink>
            <w:r w:rsidR="00F74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Корпорации МСП</w:t>
            </w:r>
          </w:p>
        </w:tc>
      </w:tr>
      <w:tr w:rsidR="008109D0" w:rsidRPr="00E37A51" w14:paraId="4F122F27" w14:textId="77777777" w:rsidTr="00F10EA1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72B48" w14:textId="77777777" w:rsidR="008109D0" w:rsidRPr="00E37A51" w:rsidRDefault="008109D0" w:rsidP="00F1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ИП, получающие от клиентов электронные платежи по видам деятельности: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продажа продуктов питания и 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потребительских товаров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топлива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 и лекарственные препараты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перевозке пассажиров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гостинице (мотеле, хостеле)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организаций культуры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447A4" w14:textId="77777777" w:rsidR="008109D0" w:rsidRPr="00E37A51" w:rsidRDefault="008109D0" w:rsidP="00F1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максимального значения платы за денежные переводы с использованием платежных карт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период с 18 апреля по 31 августа 2022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1%.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D3A4B" w14:textId="7ED6C063" w:rsidR="008109D0" w:rsidRPr="00E37A51" w:rsidRDefault="00594CCC" w:rsidP="00F1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8109D0" w:rsidRPr="008109D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Решение</w:t>
              </w:r>
            </w:hyperlink>
            <w:r w:rsidR="008109D0"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директоров Банка России от 18.03.2022</w:t>
            </w:r>
            <w:r w:rsidR="00810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09D0"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"Об установлении максимального значения размера платы, взимаемой кредитными организациями со своих клиентов по заключаемым договорам о приеме электронных средств платежа, и максимального значения размера вознаграждений, устанавливаемых операторами платежных систем и уплачиваемых кредитными организациями в рамках платежных систем за осуществление переводов </w:t>
            </w:r>
            <w:r w:rsidR="008109D0" w:rsidRPr="00E3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денежных средств с использованием платежных карт"</w:t>
            </w:r>
          </w:p>
          <w:p w14:paraId="29020F50" w14:textId="77777777" w:rsidR="008109D0" w:rsidRPr="00E37A51" w:rsidRDefault="008109D0" w:rsidP="00F1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7F7" w:rsidRPr="00E37A51" w14:paraId="6A1F1221" w14:textId="77777777" w:rsidTr="00F10EA1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197737" w14:textId="57E9ACBF" w:rsidR="002807F7" w:rsidRPr="002807F7" w:rsidRDefault="002807F7" w:rsidP="0028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организации и ИП, кроме </w:t>
            </w:r>
            <w:r w:rsidRPr="002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застройщик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включенных </w:t>
            </w:r>
            <w:r w:rsidRPr="002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единый реестр проблемных объектов на </w:t>
            </w:r>
            <w:r w:rsidR="007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="007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B265F" w14:textId="57186E8B" w:rsidR="002807F7" w:rsidRPr="00E37A51" w:rsidRDefault="002807F7" w:rsidP="0028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Мораторий </w:t>
            </w:r>
            <w:r w:rsidRPr="00782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возбуждение дел о банкротстве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0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заявлениям, подаваемым кредиторами,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01.04.2022 по 30.0</w:t>
            </w:r>
            <w:r w:rsidR="007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14:paraId="12FF4FD3" w14:textId="49CDD743" w:rsidR="002807F7" w:rsidRPr="00E37A51" w:rsidRDefault="002807F7" w:rsidP="0028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A61922" w14:textId="604F16B9" w:rsidR="002807F7" w:rsidRDefault="001F5BC5" w:rsidP="00F10EA1">
            <w:pPr>
              <w:spacing w:after="0" w:line="240" w:lineRule="auto"/>
            </w:pPr>
            <w:hyperlink r:id="rId33" w:history="1">
              <w:r w:rsidR="00782CFB" w:rsidRPr="001F5B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7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</w:t>
            </w:r>
            <w:r w:rsidR="00782CFB" w:rsidRPr="007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 марта 2022 года №</w:t>
            </w:r>
            <w:r w:rsidR="007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2CFB" w:rsidRPr="00782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</w:tr>
      <w:tr w:rsidR="000A6FED" w:rsidRPr="00E37A51" w14:paraId="5E85C9E1" w14:textId="77777777" w:rsidTr="00F10EA1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2E46A" w14:textId="3FBBE689" w:rsidR="000A6FED" w:rsidRDefault="000A6FED" w:rsidP="0028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  <w:r w:rsidRPr="000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государственным контрактам на поставку товаров, выполнение работ, оказание услуг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нужд, </w:t>
            </w:r>
            <w:r w:rsidRPr="000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финансируемы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E5E30" w14:textId="293E2F82" w:rsidR="000A6FED" w:rsidRPr="000A6FED" w:rsidRDefault="000A6FED" w:rsidP="000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</w:t>
            </w:r>
            <w:r w:rsidRPr="000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2022 году по заключаемым государственным контрактам </w:t>
            </w:r>
            <w:r w:rsidRPr="003F4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авансовы</w:t>
            </w:r>
            <w:r w:rsidRPr="003F4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r w:rsidRPr="003F4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платеж</w:t>
            </w:r>
            <w:r w:rsidRPr="003F4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</w:t>
            </w:r>
            <w:r w:rsidRPr="003F4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размере от 50% до 90% суммы </w:t>
            </w:r>
            <w:r w:rsidRPr="003F4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более лимитов бюджетных обязательств, доведенных до получателей средств федерального бюджета на указанные цели на соответствующий финансовый год. </w:t>
            </w:r>
          </w:p>
          <w:p w14:paraId="20B01EB2" w14:textId="70660AC8" w:rsidR="000A6FED" w:rsidRPr="000A6FED" w:rsidRDefault="003F4F26" w:rsidP="000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F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ыплаты авансовых платежей в размере от 50 до 90% 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F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с казначейским сопровождением, а авансовые платежи до 50% от него освобождены</w:t>
            </w:r>
            <w:r w:rsidR="000A6FED" w:rsidRPr="000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F174D9" w14:textId="7CFF64F8" w:rsidR="000A6FED" w:rsidRPr="00782CFB" w:rsidRDefault="003F4F26" w:rsidP="000A6F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сторон</w:t>
            </w:r>
            <w:r w:rsidR="000A6FED" w:rsidRPr="000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 условия государственных контрактов, заключённых до 30.03.2022 и финансируемых из федерального бюджета, в части увеличения предусмотренных ими авансов до указанных выше размеров, с соблюдением размера обеспечения исполнения государственного контракта.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C8778" w14:textId="5CB3FCED" w:rsidR="000A6FED" w:rsidRDefault="000A6FED" w:rsidP="00F1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0A6F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0A6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29 марта 2022 г. № 505</w:t>
            </w:r>
          </w:p>
        </w:tc>
      </w:tr>
      <w:tr w:rsidR="000018E2" w:rsidRPr="00E37A51" w14:paraId="65A82A6A" w14:textId="77777777" w:rsidTr="00F10EA1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F2292" w14:textId="764FA377" w:rsidR="000018E2" w:rsidRDefault="0046209E" w:rsidP="0028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ИП на УСН, </w:t>
            </w:r>
            <w:r w:rsidRPr="0046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6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отдельные виды экономической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6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46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приложению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Постановлению Правительства РФ)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7BB57" w14:textId="6677C2FF" w:rsidR="0046209E" w:rsidRDefault="0046209E" w:rsidP="000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Продл</w:t>
            </w:r>
            <w:r w:rsidRPr="00462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ение </w:t>
            </w:r>
            <w:r w:rsidRPr="00462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6 месяцев срок</w:t>
            </w:r>
            <w:r w:rsidRPr="00462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</w:t>
            </w:r>
            <w:r w:rsidRPr="00462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2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уплаты </w:t>
            </w:r>
            <w:r w:rsidRPr="00462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</w:t>
            </w:r>
            <w:r w:rsidRPr="00462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620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УСН</w:t>
            </w:r>
            <w:r w:rsidRPr="0046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2021 год и авансов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6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УСН</w:t>
            </w:r>
            <w:r w:rsidRPr="0046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квартал 2022 года. </w:t>
            </w:r>
          </w:p>
          <w:p w14:paraId="34EE22AA" w14:textId="75FF6995" w:rsidR="000018E2" w:rsidRDefault="0046209E" w:rsidP="000A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A8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ассрочка </w:t>
            </w:r>
            <w:r w:rsidRPr="00A80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2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⅙ в месяц, начиная с месяца, следующего за новым сроком уплаты.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4B59E" w14:textId="10BDA05F" w:rsidR="000018E2" w:rsidRDefault="0005753E" w:rsidP="00F1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0018E2" w:rsidRPr="0005753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0018E2" w:rsidRPr="0000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30.03.2022 N 512</w:t>
            </w:r>
          </w:p>
        </w:tc>
      </w:tr>
    </w:tbl>
    <w:p w14:paraId="79C2A823" w14:textId="1B80B0B1" w:rsidR="00BE10CD" w:rsidRDefault="00BE10CD" w:rsidP="00175625">
      <w:pPr>
        <w:spacing w:after="0" w:line="240" w:lineRule="auto"/>
        <w:rPr>
          <w:rFonts w:ascii="Times New Roman" w:hAnsi="Times New Roman" w:cs="Times New Roman"/>
        </w:rPr>
      </w:pPr>
    </w:p>
    <w:p w14:paraId="33073A09" w14:textId="77777777" w:rsidR="0046209E" w:rsidRPr="00175625" w:rsidRDefault="0046209E" w:rsidP="00175625">
      <w:pPr>
        <w:spacing w:after="0" w:line="240" w:lineRule="auto"/>
        <w:rPr>
          <w:rFonts w:ascii="Times New Roman" w:hAnsi="Times New Roman" w:cs="Times New Roman"/>
        </w:rPr>
      </w:pPr>
    </w:p>
    <w:p w14:paraId="7F7309F1" w14:textId="4347A090" w:rsidR="00175625" w:rsidRPr="00CD3CA7" w:rsidRDefault="00175625" w:rsidP="00175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CD3CA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На уровне города Москвы</w:t>
      </w:r>
    </w:p>
    <w:tbl>
      <w:tblPr>
        <w:tblW w:w="145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7655"/>
        <w:gridCol w:w="4072"/>
      </w:tblGrid>
      <w:tr w:rsidR="00175625" w:rsidRPr="00CD3CA7" w14:paraId="309B22EA" w14:textId="77777777" w:rsidTr="00E94A0D">
        <w:trPr>
          <w:tblHeader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6599" w14:textId="77777777" w:rsidR="00175625" w:rsidRPr="00CD3CA7" w:rsidRDefault="00175625" w:rsidP="001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>Вид субъекта предпринимательской деятельности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392F1" w14:textId="77777777" w:rsidR="00175625" w:rsidRPr="00CD3CA7" w:rsidRDefault="00175625" w:rsidP="001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92B34" w14:textId="77777777" w:rsidR="00175625" w:rsidRPr="00CD3CA7" w:rsidRDefault="00175625" w:rsidP="0017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>Нормативный акт</w:t>
            </w:r>
          </w:p>
        </w:tc>
      </w:tr>
      <w:tr w:rsidR="00175625" w:rsidRPr="00CD3CA7" w14:paraId="02E7F996" w14:textId="77777777" w:rsidTr="00E94A0D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72740" w14:textId="54E8BEF8" w:rsidR="00175625" w:rsidRPr="00CD3CA7" w:rsidRDefault="002B6842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Коммерческие организации и ИП, которые осуществляют деятельность в сфере быстрого питания и соответствуют установленным требованиям.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7FA2" w14:textId="3154478B" w:rsidR="002B6842" w:rsidRPr="00CD3CA7" w:rsidRDefault="002B6842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грантов</w:t>
            </w: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предпринимательской деятельности при условии открытия начиная с 16 марта 2022 г. в г. Москве мест предоставления услуг быстрого питания стационарного типа в среднеценовом общедоступном сегменте с привлечением персонала.</w:t>
            </w:r>
          </w:p>
          <w:p w14:paraId="09497897" w14:textId="77777777" w:rsidR="002B6842" w:rsidRPr="00CD3CA7" w:rsidRDefault="002B6842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EC21BD" w14:textId="5E697889" w:rsidR="002B6842" w:rsidRPr="00CD3CA7" w:rsidRDefault="002B6842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</w:t>
            </w:r>
            <w:r w:rsidR="002D3886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28 марта до 30 июня 2022 года</w:t>
            </w:r>
            <w:r w:rsidR="004A67D6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портале </w:t>
            </w:r>
            <w:hyperlink r:id="rId36" w:history="1">
              <w:r w:rsidR="004A67D6" w:rsidRPr="00CD3C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https://investmoscow.ru</w:t>
              </w:r>
            </w:hyperlink>
            <w:r w:rsidR="004A67D6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D0AE2B" w14:textId="77777777" w:rsidR="002B6842" w:rsidRPr="00CD3CA7" w:rsidRDefault="002B6842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65BBF" w14:textId="0FD2D53B" w:rsidR="00175625" w:rsidRPr="00CD3CA7" w:rsidRDefault="002B6842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D3886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азмер </w:t>
            </w: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грантов </w:t>
            </w:r>
            <w:r w:rsidR="002D3886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</w:t>
            </w:r>
            <w:r w:rsidR="004A67D6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D3886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от площади открываемых точек и ряда других особенностей работы.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1946E" w14:textId="208B4F7C" w:rsidR="00175625" w:rsidRPr="00CD3CA7" w:rsidRDefault="00594CCC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2D3886" w:rsidRPr="00CD3C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2D3886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Москвы № 395-ПП от 16.03.2022 «Об утверждении Порядка предоставления грантов из бюджета города Москвы субъектам предпринимательской деятельности, осуществляющим деятельность в сфере быстрого питания, в целях поддержки предоставления услуг быстрого питания в городе Москве»</w:t>
            </w:r>
          </w:p>
        </w:tc>
      </w:tr>
      <w:tr w:rsidR="002D3886" w:rsidRPr="00CD3CA7" w14:paraId="6884ACEB" w14:textId="77777777" w:rsidTr="00E94A0D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B20E" w14:textId="41EBBB30" w:rsidR="002D3886" w:rsidRPr="00CD3CA7" w:rsidRDefault="002B6842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 - участники инновационного кластера на территории г. Москвы, занятые в сфере обрабатывающих и высокотехнологических отраслей экономики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9C22F" w14:textId="0B0D9736" w:rsidR="004A67D6" w:rsidRPr="00CD3CA7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грантов 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>участникам кластера:</w:t>
            </w:r>
          </w:p>
          <w:p w14:paraId="01F3BC2E" w14:textId="60CA4F3A" w:rsidR="004A67D6" w:rsidRPr="00CD3CA7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>В случае приобретения оборудования за счет собственных либо привлеченных средств:</w:t>
            </w:r>
          </w:p>
          <w:p w14:paraId="64136E7C" w14:textId="670279BB" w:rsidR="004A67D6" w:rsidRPr="00CD3CA7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0EA" w:rsidRPr="00CD3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размере 50 процентов от затрат на оплату стоимости оборудования, произведенного </w:t>
            </w:r>
            <w:r w:rsidR="00AD7A7D" w:rsidRPr="00CD3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DD70EA" w:rsidRPr="00CD3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FF9C5A" w14:textId="7DA24105" w:rsidR="004A67D6" w:rsidRPr="00CD3CA7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0EA" w:rsidRPr="00CD3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размере 35 процентов от затрат на оплату стоимости оборудования, произведенного за пределами РФ.</w:t>
            </w:r>
          </w:p>
          <w:p w14:paraId="009D79BF" w14:textId="77777777" w:rsidR="004A67D6" w:rsidRPr="00CD3CA7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385B7" w14:textId="30080413" w:rsidR="004A67D6" w:rsidRPr="00CD3CA7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договора финансовой аренды (лизинга) оборудования:</w:t>
            </w:r>
          </w:p>
          <w:p w14:paraId="5258E77B" w14:textId="313641B8" w:rsidR="004A67D6" w:rsidRPr="00CD3CA7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0EA" w:rsidRPr="00CD3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размере 50 процентов от затрат на уплату лизинговых платежей оборудования, произведенного</w:t>
            </w:r>
            <w:r w:rsidR="00AD7A7D"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в РФ</w:t>
            </w:r>
            <w:r w:rsidR="00DD70EA" w:rsidRPr="00CD3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863036" w14:textId="264C9497" w:rsidR="004A67D6" w:rsidRPr="00CD3CA7" w:rsidRDefault="00AD7A7D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DD70EA" w:rsidRPr="00CD3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A67D6"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размере 35 процентов от затрат на уплату лизинговых платежей оборудования, произведенного за пределами 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4A67D6" w:rsidRPr="00CD3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30B347" w14:textId="77777777" w:rsidR="004A67D6" w:rsidRPr="00CD3CA7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A9B6A" w14:textId="302779EB" w:rsidR="004A67D6" w:rsidRPr="00CD3CA7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кредитного договора в целях поддержки и развития деятельности участника кластера и (или) на приобретение оборудования:</w:t>
            </w:r>
          </w:p>
          <w:p w14:paraId="331B2A9D" w14:textId="3DCB1B0B" w:rsidR="004A67D6" w:rsidRPr="00CD3CA7" w:rsidRDefault="00AD7A7D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0EA" w:rsidRPr="00CD3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67D6"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ри приобретении оборудования, произведенного 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в РФ </w:t>
            </w:r>
            <w:r w:rsidR="004A67D6" w:rsidRPr="00CD3CA7">
              <w:rPr>
                <w:rFonts w:ascii="Times New Roman" w:hAnsi="Times New Roman" w:cs="Times New Roman"/>
                <w:sz w:val="24"/>
                <w:szCs w:val="24"/>
              </w:rPr>
              <w:t>- в размере затрат на уплату процентов, рассчитанных исходя из размера ключевой ставки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ЦБ </w:t>
            </w:r>
            <w:r w:rsidR="004A67D6" w:rsidRPr="00CD3CA7">
              <w:rPr>
                <w:rFonts w:ascii="Times New Roman" w:hAnsi="Times New Roman" w:cs="Times New Roman"/>
                <w:sz w:val="24"/>
                <w:szCs w:val="24"/>
              </w:rPr>
              <w:t>на день подачи заявки, увеличенного на 5 процентных пунктов.</w:t>
            </w:r>
          </w:p>
          <w:p w14:paraId="343EAAE4" w14:textId="6E317DBA" w:rsidR="004A67D6" w:rsidRPr="00CD3CA7" w:rsidRDefault="00AD7A7D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D70EA" w:rsidRPr="00CD3CA7">
              <w:rPr>
                <w:rFonts w:ascii="Times New Roman" w:hAnsi="Times New Roman" w:cs="Times New Roman"/>
                <w:sz w:val="24"/>
                <w:szCs w:val="24"/>
              </w:rPr>
              <w:t>в иных случаях -</w:t>
            </w:r>
            <w:r w:rsidR="004A67D6"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фактически</w:t>
            </w:r>
            <w:r w:rsidR="00DD70EA" w:rsidRPr="00CD3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A67D6"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уплату процентов, рассчитанных исходя из размера ключевой ставки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ЦБ </w:t>
            </w:r>
            <w:r w:rsidR="004A67D6" w:rsidRPr="00CD3CA7">
              <w:rPr>
                <w:rFonts w:ascii="Times New Roman" w:hAnsi="Times New Roman" w:cs="Times New Roman"/>
                <w:sz w:val="24"/>
                <w:szCs w:val="24"/>
              </w:rPr>
              <w:t>на день подачи заявки.</w:t>
            </w:r>
          </w:p>
          <w:p w14:paraId="632ECF35" w14:textId="4DA31463" w:rsidR="004A67D6" w:rsidRPr="00CD3CA7" w:rsidRDefault="004A67D6" w:rsidP="004A6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39833" w14:textId="085788C1" w:rsidR="002D3886" w:rsidRPr="00CD3CA7" w:rsidRDefault="00AD7A7D" w:rsidP="00DD7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на портале </w:t>
            </w:r>
            <w:hyperlink r:id="rId38" w:history="1">
              <w:r w:rsidRPr="00CD3C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https://investmoscow.ru</w:t>
              </w:r>
            </w:hyperlink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BC5C" w14:textId="141E4459" w:rsidR="002D3886" w:rsidRPr="00CD3CA7" w:rsidRDefault="00594CCC" w:rsidP="002D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2D3886" w:rsidRPr="00CD3C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2D3886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Москвы  от 15 марта 2022 года N 358-ПП «Об утверждении Порядка предоставления грантов из бюджета города Москвы участникам инновационного кластера на территории города Москвы - субъектам малого и среднего предпринимательства в целях поддержки деятельности в сфере обрабатывающих и высокотехнологичных отраслей экономики»</w:t>
            </w:r>
          </w:p>
          <w:p w14:paraId="1972E9EB" w14:textId="77777777" w:rsidR="002D3886" w:rsidRPr="00CD3CA7" w:rsidRDefault="002D3886" w:rsidP="00175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AC2" w:rsidRPr="00CD3CA7" w14:paraId="473697ED" w14:textId="77777777" w:rsidTr="00E94A0D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DF5A1" w14:textId="1FC24CE9" w:rsidR="00C83AC2" w:rsidRPr="00CD3CA7" w:rsidRDefault="00C83AC2" w:rsidP="009F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Подрядчики по государственным контрактам на поставку товаров, выполнение работ, оказание услуг для проектирования, строительства, реконструкции, сноса объектов капитального строительства, осуществляемых за счет средств городского бюджета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E813" w14:textId="71E3F14E" w:rsidR="00C83AC2" w:rsidRPr="00CD3CA7" w:rsidRDefault="00C83AC2" w:rsidP="00D10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в 2022 году для органов исполнительной власти Москвы, ГКУ предусматривать в контрактах на поставку товаров, выполнение работ, оказание услуг </w:t>
            </w:r>
            <w:r w:rsidR="00D1008A" w:rsidRPr="00CD3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авансовые платежи в размере до 70 процентов от суммы контракта</w:t>
            </w:r>
            <w:r w:rsidR="00D1008A" w:rsidRPr="00CD3CA7">
              <w:rPr>
                <w:rFonts w:ascii="Times New Roman" w:hAnsi="Times New Roman" w:cs="Times New Roman"/>
                <w:sz w:val="24"/>
                <w:szCs w:val="24"/>
              </w:rPr>
              <w:t>, но не более суммы принятого обязательства, подлежащего исполнению за счет средств бюджета Москвы в текущем финансовом году по соответствующему контракту.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4C79" w14:textId="4BB49CC8" w:rsidR="00C83AC2" w:rsidRPr="00CD3CA7" w:rsidRDefault="00594CCC" w:rsidP="00C8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83AC2" w:rsidRPr="007B2D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C83AC2"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Москвы от 15.03.2022 N 356-ПП "О внесении изменения в постановление Правительства Москвы от 30 декабря 2008 г. N 1229-ПП"</w:t>
            </w:r>
          </w:p>
          <w:p w14:paraId="540EC414" w14:textId="77777777" w:rsidR="00C83AC2" w:rsidRPr="00CD3CA7" w:rsidRDefault="00C83AC2" w:rsidP="00C8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7D86D" w14:textId="52F86EDF" w:rsidR="00C83AC2" w:rsidRPr="00CD3CA7" w:rsidRDefault="00C83AC2" w:rsidP="00C8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BF" w:rsidRPr="00CD3CA7" w14:paraId="18CF4EA0" w14:textId="77777777" w:rsidTr="00E94A0D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0C02" w14:textId="01D87B5C" w:rsidR="007B2DBF" w:rsidRPr="00CD3CA7" w:rsidRDefault="007121D4" w:rsidP="009F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государственным контрактам на поставку </w:t>
            </w: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выполнение работ, оказание услуг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нужд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79B9" w14:textId="016BD5A1" w:rsidR="007B2DBF" w:rsidRPr="00CD3CA7" w:rsidRDefault="007121D4" w:rsidP="0071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Возможность и</w:t>
            </w:r>
            <w:r w:rsidR="007B2DBF" w:rsidRPr="0071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зменени</w:t>
            </w:r>
            <w:r w:rsidRPr="0071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7B2DBF" w:rsidRPr="00712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соглашению сторон существенных условий контракта на закупку товаров, работ, услуг для государственных нужд</w:t>
            </w:r>
            <w:r w:rsidR="007B2DBF" w:rsidRPr="007B2DBF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заключенного до 1 января 2023 года, если при </w:t>
            </w:r>
            <w:r w:rsidR="007B2DBF" w:rsidRPr="007B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такого контракта возникли независящие от сторон контракта обстоятельства, влекущие невозможность его исполнения, по решению заказчика - органа исполнительной власти города Москвы, а при заключении контракта государственными учреждениями города Москвы, ГУП города Москвы, хозяйственными обществами - по решению органа исполнительной власти города Москвы, в ведомственном подчинении которого находится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9096D" w14:textId="34F948E3" w:rsidR="007B2DBF" w:rsidRPr="007B2DBF" w:rsidRDefault="00594CCC" w:rsidP="007B2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B2DBF" w:rsidRPr="007121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7B2DBF" w:rsidRPr="007B2D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Москвы от 09.03.2022 N 345-ПП</w:t>
            </w:r>
            <w:r w:rsidR="007B2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DBF" w:rsidRPr="007B2DBF">
              <w:rPr>
                <w:rFonts w:ascii="Times New Roman" w:hAnsi="Times New Roman" w:cs="Times New Roman"/>
                <w:sz w:val="24"/>
                <w:szCs w:val="24"/>
              </w:rPr>
              <w:t xml:space="preserve">"Об отдельных особенностях изменения </w:t>
            </w:r>
            <w:r w:rsidR="007B2DBF" w:rsidRPr="007B2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условий контрактов на закупку товаров, работ, услуг для государственных нужд"</w:t>
            </w:r>
          </w:p>
          <w:p w14:paraId="0143959D" w14:textId="20EF1F89" w:rsidR="007B2DBF" w:rsidRDefault="007B2DBF" w:rsidP="007B2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C0A" w:rsidRPr="00CD3CA7" w14:paraId="6EEC4E22" w14:textId="77777777" w:rsidTr="00E94A0D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57E20" w14:textId="4F2DECF9" w:rsidR="00C55C0A" w:rsidRPr="00CD3CA7" w:rsidRDefault="00A05602" w:rsidP="00A05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Арендаторы земельных участков, объектов нежилого фонда в собственности г. Москвы; собственники земельных участков, которые должны уплатить плату за изменение вида разрешенного использования на предусматривающий строительство и (или) реконструкцию объекта капстроительства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EB84" w14:textId="5B4F1713" w:rsidR="00782944" w:rsidRPr="00CD3CA7" w:rsidRDefault="00A05602" w:rsidP="00782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>Отсрочка до конца 2022 г. по арендным платежам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за II квартал 2022 г.</w:t>
            </w:r>
            <w:r w:rsidR="00782944"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обращениям организаций (ИП) - арендаторов объектов нежилого фонда, находящихся в собственности города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Москвы</w:t>
            </w:r>
            <w:r w:rsidR="00782944" w:rsidRPr="00CD3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D62ACB" w14:textId="56A70C35" w:rsidR="00782944" w:rsidRPr="00CD3CA7" w:rsidRDefault="00A05602" w:rsidP="00782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Запрет в 2022 на </w:t>
            </w:r>
            <w:r w:rsidR="00782944"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>повыш</w:t>
            </w:r>
            <w:r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  <w:r w:rsidR="00782944"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</w:t>
            </w:r>
            <w:r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82944"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>к арендной платы</w:t>
            </w:r>
            <w:r w:rsidR="00782944"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за принадлежащие городу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Москве</w:t>
            </w:r>
            <w:r w:rsidR="00782944"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объекты нежилого фонда и земельные участки, если госсобственность на последние не разграничена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3464F9" w14:textId="02C5A066" w:rsidR="00782944" w:rsidRPr="00CD3CA7" w:rsidRDefault="00A05602" w:rsidP="00782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</w:t>
            </w:r>
            <w:r w:rsidR="00782944"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</w:t>
            </w:r>
            <w:r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782944"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текущем году став</w:t>
            </w:r>
            <w:r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82944"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>к арендной платы</w:t>
            </w:r>
            <w:r w:rsidR="00782944"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за некоторые земельные участки на следующий год срока аренды 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>по обращению арендатора (н</w:t>
            </w:r>
            <w:r w:rsidR="00782944"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апример, 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82944"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участков, по которым изменена цель предоставления на строительство (реконструкцию) объекта капстроительства или которые предоставлены для завершения строительства объекта незавершенного строительства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2944" w:rsidRPr="00CD3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1252EA" w14:textId="29DBE6CD" w:rsidR="00782944" w:rsidRPr="00CD3CA7" w:rsidRDefault="00A05602" w:rsidP="00782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>6-месячная беспроцентная отсрочка арендной платы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за первый год срока аренды в части платежей за II квартал 2022 г.</w:t>
            </w:r>
            <w:r w:rsidR="00782944"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обращениям некоторых категорий арендаторов земельных участков;</w:t>
            </w:r>
          </w:p>
          <w:p w14:paraId="1003A62A" w14:textId="57561678" w:rsidR="00782944" w:rsidRPr="00CD3CA7" w:rsidRDefault="00A05602" w:rsidP="00782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782944" w:rsidRPr="00CD3CA7">
              <w:rPr>
                <w:rFonts w:ascii="Times New Roman" w:hAnsi="Times New Roman" w:cs="Times New Roman"/>
                <w:sz w:val="24"/>
                <w:szCs w:val="24"/>
              </w:rPr>
              <w:t>в определенных случаях арендовать землю за 1 руб. в год на весь срок аренды;</w:t>
            </w:r>
          </w:p>
          <w:p w14:paraId="770A53D9" w14:textId="33B8E8E7" w:rsidR="00782944" w:rsidRPr="00CD3CA7" w:rsidRDefault="00A05602" w:rsidP="00782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6-месячная беспроцентная отсрочка для </w:t>
            </w:r>
            <w:r w:rsidR="00782944"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  <w:r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782944"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земельных участков, которые должны уплатить за II квартал 2022 г. плату за изменение вида разрешенного использования</w:t>
            </w:r>
            <w:r w:rsidR="00782944"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на предусматривающий строительство и (или) реконструкцию объекта капстроительства</w:t>
            </w: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>, по обращению указанного собственника;</w:t>
            </w:r>
            <w:r w:rsidR="00782944"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3FADAE" w14:textId="6EA3D75B" w:rsidR="00782944" w:rsidRPr="00CD3CA7" w:rsidRDefault="00A05602" w:rsidP="00782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Новые</w:t>
            </w:r>
            <w:r w:rsidR="00782944" w:rsidRPr="00CD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правила предоставления банковской гарантии при заключении собственником земельного участка соглашения о рассрочке по внесению платы за изменение разрешенного вида</w:t>
            </w:r>
            <w:r w:rsidR="00782944"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использования на предусматривающий строительство и (или) реконструкцию объекта капстроительства;</w:t>
            </w:r>
          </w:p>
          <w:p w14:paraId="4C2468D7" w14:textId="0A148DF1" w:rsidR="00C55C0A" w:rsidRPr="00CD3CA7" w:rsidRDefault="00A05602" w:rsidP="00782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2944" w:rsidRPr="00CD3CA7">
              <w:rPr>
                <w:rFonts w:ascii="Times New Roman" w:hAnsi="Times New Roman" w:cs="Times New Roman"/>
                <w:sz w:val="24"/>
                <w:szCs w:val="24"/>
              </w:rPr>
              <w:t>ри расчете в 2022 г. отдельных платежей вместо ключевой ставки (увеличенной ключевой ставки) Банка России используется ставка 9,5% годовых.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6EA6E" w14:textId="6E8F229B" w:rsidR="00C55C0A" w:rsidRPr="00CD3CA7" w:rsidRDefault="00594CCC" w:rsidP="00C83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82944" w:rsidRPr="00CD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782944" w:rsidRPr="00CD3CA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Москвы от 22.03.2022 N 407-ПП</w:t>
            </w:r>
          </w:p>
        </w:tc>
      </w:tr>
      <w:tr w:rsidR="001613EA" w:rsidRPr="00CD3CA7" w14:paraId="609A08B4" w14:textId="77777777" w:rsidTr="00E94A0D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6AA8C" w14:textId="68CEE134" w:rsidR="004B6EB8" w:rsidRPr="00CD3CA7" w:rsidRDefault="00B5487E" w:rsidP="005C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предпринимательства, зарегистрированные на территории города Москвы</w:t>
            </w:r>
            <w:r w:rsidR="005C304D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осуществляющие деятельность в одной или нескольких приоритетных отраслях / получившие инвестиционные кредиты определенной категории / заключившие договоры финансирования под уступку денежного требования  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03B3" w14:textId="7218DC83" w:rsidR="001613EA" w:rsidRPr="00CD3CA7" w:rsidRDefault="007A533F" w:rsidP="0016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</w:t>
            </w: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равном 1/2 ключевой ставки ЦБ РФ, действующей на день заключения кредитного договора или допсоглашения и увеличенной на 3 процентных пункта - </w:t>
            </w:r>
            <w:r w:rsidRPr="00CD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1613EA" w:rsidRPr="00CD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убъектам малого и среднего предпринимательства в Москве, осуществляющим деятельность в одной или нескольких приоритетных отраслях, по заключенным с 1 марта 2022 г. кредитным договорам </w:t>
            </w:r>
            <w:r w:rsidR="001613EA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допсоглашениям к ним, предусматривающим изменени</w:t>
            </w: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процентной ставки по кредитам</w:t>
            </w:r>
            <w:r w:rsidR="001613EA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3EA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видах экономической деятельности, соответствующих приоритетным отраслям, размещается на официальном сайте Департамента предпринимательства и инновационного развития.</w:t>
            </w:r>
          </w:p>
          <w:p w14:paraId="7D54AF7C" w14:textId="77777777" w:rsidR="001613EA" w:rsidRPr="00CD3CA7" w:rsidRDefault="001613EA" w:rsidP="0016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D107F" w14:textId="3B2FE633" w:rsidR="001613EA" w:rsidRPr="00CD3CA7" w:rsidRDefault="007A533F" w:rsidP="0016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</w:t>
            </w: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8 процентов годовых - </w:t>
            </w:r>
            <w:r w:rsidR="001613EA" w:rsidRPr="00CD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субъект</w:t>
            </w:r>
            <w:r w:rsidRPr="00CD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</w:t>
            </w:r>
            <w:r w:rsidR="001613EA" w:rsidRPr="00CD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малого и среднего предпринимательства, получивши</w:t>
            </w:r>
            <w:r w:rsidRPr="00CD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1613EA" w:rsidRPr="00CD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1 марта 2022 г. инвестиционные кредиты</w:t>
            </w:r>
            <w:r w:rsidR="001613EA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Программы стимулирования кредитования субъектов малого и среднего предпринимательства, реализуемой АО "Федеральная корпорация по развитию малого и среднего предп</w:t>
            </w: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ринимательства"</w:t>
            </w:r>
            <w:r w:rsidR="001613EA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FCEBA12" w14:textId="77777777" w:rsidR="001613EA" w:rsidRPr="00CD3CA7" w:rsidRDefault="001613EA" w:rsidP="0016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E9A2D6" w14:textId="742E9767" w:rsidR="004B6EB8" w:rsidRPr="00CD3CA7" w:rsidRDefault="007A533F" w:rsidP="007A5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</w:t>
            </w: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равном ключевой ставке ЦБ РФ, действующей на день заключения договора финансирования под уступку денежного требования либо допсоглашения и уменьшенной на 10 процентов годовых, но не менее 8 процентов годовых и не более 12 процентов </w:t>
            </w: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годовых - </w:t>
            </w:r>
            <w:r w:rsidRPr="00CD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1613EA" w:rsidRPr="00CD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заключенным с 1 марта 2022 г. договорам финансирования под уступку денежного требования</w:t>
            </w:r>
            <w:r w:rsidR="001613EA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допсоглашениям к таким договорам, предусматривающим изменение процентной</w:t>
            </w: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ставки по ним.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8CDBF" w14:textId="50E19ABA" w:rsidR="004B6EB8" w:rsidRPr="00CD3CA7" w:rsidRDefault="00594CCC" w:rsidP="00A70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70734" w:rsidRPr="00CD3C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A70734" w:rsidRPr="00CD3CA7">
              <w:rPr>
                <w:rStyle w:val="a3"/>
                <w:sz w:val="24"/>
                <w:szCs w:val="24"/>
              </w:rPr>
              <w:t xml:space="preserve"> </w:t>
            </w:r>
            <w:r w:rsidR="00A70734" w:rsidRPr="00CD3CA7">
              <w:rPr>
                <w:rFonts w:ascii="Times New Roman" w:hAnsi="Times New Roman" w:cs="Times New Roman"/>
                <w:sz w:val="24"/>
                <w:szCs w:val="24"/>
              </w:rPr>
              <w:t>Правительства Москвы от 23.03.2022 N 445-ПП</w:t>
            </w:r>
          </w:p>
        </w:tc>
      </w:tr>
      <w:tr w:rsidR="007A533F" w:rsidRPr="00CD3CA7" w14:paraId="513848E1" w14:textId="77777777" w:rsidTr="00E94A0D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99A4D" w14:textId="332F3D5D" w:rsidR="007A533F" w:rsidRPr="00CD3CA7" w:rsidRDefault="00DA4EBE" w:rsidP="00D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инновационного кластера на территории г. Москвы, проводящие пилотные тестирования инновационных решений в городе Москве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37D6" w14:textId="77777777" w:rsidR="007A533F" w:rsidRPr="00CD3CA7" w:rsidRDefault="00DA4EBE" w:rsidP="00D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поддержка в размере расходов, связанных с проведением пилотных тестирований</w:t>
            </w: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логистику, страхование, сертификацию, расходные и комплектующие материалы, оплату труда, ремонт и техническое обслуживание, аренду дополнительного оборудования, необходимого для апробации разработки), до двух миллионов рублей на каждое тестирование.</w:t>
            </w:r>
          </w:p>
          <w:p w14:paraId="06F14435" w14:textId="593A32C0" w:rsidR="00DA4EBE" w:rsidRPr="00CD3CA7" w:rsidRDefault="00DA4EBE" w:rsidP="00D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с 11.04.2022 на платформе Московского инновационного кластера </w:t>
            </w:r>
            <w:hyperlink r:id="rId44" w:history="1">
              <w:r w:rsidRPr="00CD3C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https://i.moscow/</w:t>
              </w:r>
            </w:hyperlink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5CA0" w14:textId="317B1D82" w:rsidR="007A533F" w:rsidRPr="00CD3CA7" w:rsidRDefault="00594CCC" w:rsidP="00A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DA4EBE" w:rsidRPr="00CD3C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DA4EBE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Москвы от 22.03.2022 N 410-ПП</w:t>
            </w:r>
          </w:p>
        </w:tc>
      </w:tr>
      <w:tr w:rsidR="00DA4EBE" w:rsidRPr="00CD3CA7" w14:paraId="1831CA3A" w14:textId="77777777" w:rsidTr="00E94A0D"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8CF9" w14:textId="18D1646F" w:rsidR="00DA4EBE" w:rsidRPr="00CD3CA7" w:rsidRDefault="00DA4EBE" w:rsidP="00D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инновационного кластера на территории г. Москвы - субъекты малого и среднего предпринимательства, получившие патенты на изобретения в РФ</w:t>
            </w:r>
          </w:p>
        </w:tc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E9262" w14:textId="718ABCF6" w:rsidR="00DA4EBE" w:rsidRPr="00CD3CA7" w:rsidRDefault="0026681C" w:rsidP="00D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поддержка в размере 75 тыс. рублей за</w:t>
            </w: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полученный не ранее чем</w:t>
            </w:r>
            <w:r w:rsidR="00050139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полных календарных месяцев до дня подачи заявки </w:t>
            </w:r>
            <w:r w:rsidRPr="00CD3C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патент на изобретение</w:t>
            </w: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46101C" w14:textId="136A98A5" w:rsidR="0026681C" w:rsidRPr="00CD3CA7" w:rsidRDefault="0026681C" w:rsidP="00DA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с 01.04.2022 на платформе Московского инновационного кластера </w:t>
            </w:r>
            <w:hyperlink r:id="rId46" w:history="1">
              <w:r w:rsidRPr="00CD3CA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https://i.moscow/</w:t>
              </w:r>
            </w:hyperlink>
            <w:r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F258" w14:textId="5EEFBA3D" w:rsidR="00DA4EBE" w:rsidRPr="00CD3CA7" w:rsidRDefault="00594CCC" w:rsidP="00A70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050139" w:rsidRPr="00CD3CA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050139" w:rsidRPr="00CD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Москвы от 24.03.2022 N 448-ПП</w:t>
            </w:r>
          </w:p>
        </w:tc>
      </w:tr>
    </w:tbl>
    <w:p w14:paraId="3168DDFF" w14:textId="77777777" w:rsidR="00175625" w:rsidRPr="00CD3CA7" w:rsidRDefault="00175625" w:rsidP="002D3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5625" w:rsidRPr="00CD3CA7" w:rsidSect="00BE1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4A"/>
    <w:rsid w:val="000018E2"/>
    <w:rsid w:val="00002315"/>
    <w:rsid w:val="00050139"/>
    <w:rsid w:val="0005753E"/>
    <w:rsid w:val="00074298"/>
    <w:rsid w:val="00092239"/>
    <w:rsid w:val="000A6FED"/>
    <w:rsid w:val="001613EA"/>
    <w:rsid w:val="00175625"/>
    <w:rsid w:val="00196B50"/>
    <w:rsid w:val="001F5BC5"/>
    <w:rsid w:val="0026681C"/>
    <w:rsid w:val="002807F7"/>
    <w:rsid w:val="0029464D"/>
    <w:rsid w:val="002B6842"/>
    <w:rsid w:val="002D3886"/>
    <w:rsid w:val="002E1765"/>
    <w:rsid w:val="002F7E80"/>
    <w:rsid w:val="00336EBA"/>
    <w:rsid w:val="00341ABE"/>
    <w:rsid w:val="00342838"/>
    <w:rsid w:val="003456B9"/>
    <w:rsid w:val="003911D6"/>
    <w:rsid w:val="003A2B91"/>
    <w:rsid w:val="003B3E87"/>
    <w:rsid w:val="003F4F26"/>
    <w:rsid w:val="00453E2B"/>
    <w:rsid w:val="0046209E"/>
    <w:rsid w:val="0049694A"/>
    <w:rsid w:val="004A67D6"/>
    <w:rsid w:val="004B6EB8"/>
    <w:rsid w:val="005613B7"/>
    <w:rsid w:val="00594CCC"/>
    <w:rsid w:val="005A4923"/>
    <w:rsid w:val="005A7825"/>
    <w:rsid w:val="005C304D"/>
    <w:rsid w:val="005C6467"/>
    <w:rsid w:val="006D47BF"/>
    <w:rsid w:val="007121D4"/>
    <w:rsid w:val="00782944"/>
    <w:rsid w:val="00782C4A"/>
    <w:rsid w:val="00782CFB"/>
    <w:rsid w:val="007A533F"/>
    <w:rsid w:val="007B1D0D"/>
    <w:rsid w:val="007B2DBF"/>
    <w:rsid w:val="007C131C"/>
    <w:rsid w:val="008109D0"/>
    <w:rsid w:val="00875826"/>
    <w:rsid w:val="008C71F7"/>
    <w:rsid w:val="008D1E44"/>
    <w:rsid w:val="008D4C21"/>
    <w:rsid w:val="00906938"/>
    <w:rsid w:val="00976AEF"/>
    <w:rsid w:val="0099715F"/>
    <w:rsid w:val="009F5A8A"/>
    <w:rsid w:val="00A05602"/>
    <w:rsid w:val="00A70734"/>
    <w:rsid w:val="00A800CB"/>
    <w:rsid w:val="00A80DB2"/>
    <w:rsid w:val="00A84E04"/>
    <w:rsid w:val="00A959D6"/>
    <w:rsid w:val="00AA34B7"/>
    <w:rsid w:val="00AD7A7D"/>
    <w:rsid w:val="00B16616"/>
    <w:rsid w:val="00B5487E"/>
    <w:rsid w:val="00B63B04"/>
    <w:rsid w:val="00BE10CD"/>
    <w:rsid w:val="00C218DA"/>
    <w:rsid w:val="00C430F1"/>
    <w:rsid w:val="00C55C0A"/>
    <w:rsid w:val="00C76A00"/>
    <w:rsid w:val="00C772B3"/>
    <w:rsid w:val="00C803E6"/>
    <w:rsid w:val="00C824D5"/>
    <w:rsid w:val="00C82644"/>
    <w:rsid w:val="00C83AC2"/>
    <w:rsid w:val="00CD3CA7"/>
    <w:rsid w:val="00D1008A"/>
    <w:rsid w:val="00D962A0"/>
    <w:rsid w:val="00DA4EBE"/>
    <w:rsid w:val="00DA554B"/>
    <w:rsid w:val="00DB1005"/>
    <w:rsid w:val="00DD70EA"/>
    <w:rsid w:val="00E94A0D"/>
    <w:rsid w:val="00EB0FE5"/>
    <w:rsid w:val="00F32023"/>
    <w:rsid w:val="00F54A0A"/>
    <w:rsid w:val="00F74F04"/>
    <w:rsid w:val="00F8173D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FD4A"/>
  <w15:chartTrackingRefBased/>
  <w15:docId w15:val="{E19AA271-0D0B-48B9-B3BA-1E9CD2C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E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E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E10CD"/>
    <w:rPr>
      <w:color w:val="0000FF"/>
      <w:u w:val="single"/>
    </w:rPr>
  </w:style>
  <w:style w:type="paragraph" w:customStyle="1" w:styleId="s16">
    <w:name w:val="s_16"/>
    <w:basedOn w:val="a"/>
    <w:rsid w:val="00BE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E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715F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B1D0D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D4C21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7B2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alog.gov.ru/rn77/news/activities_fts/11971151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s://docs.cntd.ru/document/728481706" TargetMode="External"/><Relationship Id="rId21" Type="http://schemas.openxmlformats.org/officeDocument/2006/relationships/hyperlink" Target="https://www.nalog.gov.ru/rn77/news/tax_doc_news/11997805/" TargetMode="External"/><Relationship Id="rId34" Type="http://schemas.openxmlformats.org/officeDocument/2006/relationships/hyperlink" Target="http://static.government.ru/media/files/AMQgg4wJJXACAYmZVnMDL7NTj1NlAjYt.pdf" TargetMode="External"/><Relationship Id="rId42" Type="http://schemas.openxmlformats.org/officeDocument/2006/relationships/hyperlink" Target="https://www.mos.ru/authority/documents/doc/48545220/" TargetMode="External"/><Relationship Id="rId47" Type="http://schemas.openxmlformats.org/officeDocument/2006/relationships/hyperlink" Target="https://www.mos.ru/authority/documents/doc/48566220/" TargetMode="External"/><Relationship Id="rId7" Type="http://schemas.openxmlformats.org/officeDocument/2006/relationships/hyperlink" Target="https://www.nalog.gov.ru/rn77/news/activities_fts/1199705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cons/cgi/online.cgi?req=doc&amp;base=LAW&amp;n=412692&amp;dst=100001" TargetMode="External"/><Relationship Id="rId29" Type="http://schemas.openxmlformats.org/officeDocument/2006/relationships/hyperlink" Target="https://www.garant.ru/hotlaw/federal/1532214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s://cbr.ru/about_br/dir/rsd_2022-03-18_03-21/" TargetMode="External"/><Relationship Id="rId37" Type="http://schemas.openxmlformats.org/officeDocument/2006/relationships/hyperlink" Target="https://www.mos.ru/authority/documents/doc/48525220/" TargetMode="External"/><Relationship Id="rId40" Type="http://schemas.openxmlformats.org/officeDocument/2006/relationships/hyperlink" Target="https://www.mos.ru/authority/documents/doc/48498220/" TargetMode="External"/><Relationship Id="rId45" Type="http://schemas.openxmlformats.org/officeDocument/2006/relationships/hyperlink" Target="https://www.mos.ru/dpir/documents/normativnye-pravovye-akty-goroda-moskvy/view/266622220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digital.gov.ru/ru/activity/govservices/1/" TargetMode="External"/><Relationship Id="rId23" Type="http://schemas.openxmlformats.org/officeDocument/2006/relationships/hyperlink" Target="https://digital.gov.ru/ru/activity/govservices/1/" TargetMode="External"/><Relationship Id="rId28" Type="http://schemas.openxmlformats.org/officeDocument/2006/relationships/hyperlink" Target="https://www.garant.ru/hotlaw/federal/1532042/" TargetMode="External"/><Relationship Id="rId36" Type="http://schemas.openxmlformats.org/officeDocument/2006/relationships/hyperlink" Target="https://investmoscow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s://corpmsp.ru/bankam/programma_stimulir/" TargetMode="External"/><Relationship Id="rId44" Type="http://schemas.openxmlformats.org/officeDocument/2006/relationships/hyperlink" Target="https://i.mosc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s://www.garant.ru/products/ipo/prime/doc/403595416/" TargetMode="External"/><Relationship Id="rId30" Type="http://schemas.openxmlformats.org/officeDocument/2006/relationships/hyperlink" Target="https://www.garant.ru/hotlaw/federal/1531377/" TargetMode="External"/><Relationship Id="rId35" Type="http://schemas.openxmlformats.org/officeDocument/2006/relationships/hyperlink" Target="http://publication.pravo.gov.ru/Document/View/0001202203300016" TargetMode="External"/><Relationship Id="rId43" Type="http://schemas.openxmlformats.org/officeDocument/2006/relationships/hyperlink" Target="https://www.mos.ru/dpir/documents/normativnye-pravovye-akty-goroda-moskvy/view/266692220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www.consultant.ru/cons/cgi/online.cgi?req=doc&amp;base=LAW&amp;n=412692&amp;dst=100001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publication.pravo.gov.ru/Document/View/0001202204010040" TargetMode="External"/><Relationship Id="rId38" Type="http://schemas.openxmlformats.org/officeDocument/2006/relationships/hyperlink" Target="https://investmoscow.ru" TargetMode="External"/><Relationship Id="rId46" Type="http://schemas.openxmlformats.org/officeDocument/2006/relationships/hyperlink" Target="https://i.moscow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s://www.garant.ru/hotlaw/moscow/153445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6DC0-F362-415D-B35A-E79A3F0A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terukoshi@gmail.com</dc:creator>
  <cp:keywords/>
  <dc:description/>
  <cp:lastModifiedBy>terukoshi@gmail.com</cp:lastModifiedBy>
  <cp:revision>60</cp:revision>
  <dcterms:created xsi:type="dcterms:W3CDTF">2022-03-14T08:09:00Z</dcterms:created>
  <dcterms:modified xsi:type="dcterms:W3CDTF">2022-04-05T11:19:00Z</dcterms:modified>
</cp:coreProperties>
</file>